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EFDD8" w14:textId="0E18C83F" w:rsidR="00CB0346" w:rsidRPr="00094370" w:rsidRDefault="00CB0346" w:rsidP="007F474D">
      <w:pPr>
        <w:jc w:val="center"/>
        <w:rPr>
          <w:b/>
          <w:bCs/>
          <w:u w:val="single"/>
          <w:lang w:val="es-ES"/>
        </w:rPr>
      </w:pPr>
      <w:r w:rsidRPr="00094370">
        <w:rPr>
          <w:b/>
          <w:bCs/>
          <w:u w:val="single"/>
          <w:lang w:val="es-ES"/>
        </w:rPr>
        <w:t>Minuta N°</w:t>
      </w:r>
      <w:r>
        <w:rPr>
          <w:b/>
          <w:bCs/>
          <w:u w:val="single"/>
          <w:lang w:val="es-ES"/>
        </w:rPr>
        <w:t>5</w:t>
      </w:r>
    </w:p>
    <w:p w14:paraId="5BED3F94" w14:textId="77777777" w:rsidR="00CB0346" w:rsidRPr="00094370" w:rsidRDefault="00CB0346" w:rsidP="00D77681">
      <w:pPr>
        <w:jc w:val="both"/>
        <w:rPr>
          <w:b/>
          <w:bCs/>
          <w:u w:val="single"/>
          <w:lang w:val="es-ES"/>
        </w:rPr>
      </w:pPr>
      <w:r w:rsidRPr="00094370">
        <w:rPr>
          <w:b/>
          <w:bCs/>
          <w:u w:val="single"/>
          <w:lang w:val="es-ES"/>
        </w:rPr>
        <w:t xml:space="preserve">Comité de Mercados Nacionales </w:t>
      </w:r>
    </w:p>
    <w:p w14:paraId="37ACF133" w14:textId="051774BC" w:rsidR="00CB0346" w:rsidRPr="00094370" w:rsidRDefault="00CB0346" w:rsidP="00D77681">
      <w:pPr>
        <w:jc w:val="both"/>
        <w:rPr>
          <w:lang w:val="es-ES"/>
        </w:rPr>
      </w:pPr>
      <w:r w:rsidRPr="00094370">
        <w:rPr>
          <w:lang w:val="es-ES"/>
        </w:rPr>
        <w:t>Santiago, viernes</w:t>
      </w:r>
      <w:r>
        <w:rPr>
          <w:lang w:val="es-ES"/>
        </w:rPr>
        <w:t xml:space="preserve"> 25 de junio de 2021</w:t>
      </w:r>
    </w:p>
    <w:p w14:paraId="00AE029B" w14:textId="77777777" w:rsidR="00CB0346" w:rsidRPr="00094370" w:rsidRDefault="00CB0346" w:rsidP="00D77681">
      <w:pPr>
        <w:jc w:val="both"/>
        <w:rPr>
          <w:lang w:val="es-ES"/>
        </w:rPr>
      </w:pPr>
    </w:p>
    <w:p w14:paraId="7C50BA12" w14:textId="4EF5824F" w:rsidR="00F316B9" w:rsidRDefault="00CB0346" w:rsidP="00D77681">
      <w:pPr>
        <w:jc w:val="both"/>
        <w:rPr>
          <w:b/>
          <w:bCs/>
        </w:rPr>
      </w:pPr>
      <w:r w:rsidRPr="00094370">
        <w:rPr>
          <w:b/>
          <w:bCs/>
        </w:rPr>
        <w:t xml:space="preserve">El viernes </w:t>
      </w:r>
      <w:r>
        <w:rPr>
          <w:b/>
          <w:bCs/>
        </w:rPr>
        <w:t>25 de junio</w:t>
      </w:r>
      <w:r w:rsidRPr="00094370">
        <w:rPr>
          <w:b/>
          <w:bCs/>
        </w:rPr>
        <w:t xml:space="preserve"> se </w:t>
      </w:r>
      <w:r>
        <w:rPr>
          <w:b/>
          <w:bCs/>
        </w:rPr>
        <w:t xml:space="preserve">realizó </w:t>
      </w:r>
      <w:r w:rsidRPr="00094370">
        <w:rPr>
          <w:b/>
          <w:bCs/>
        </w:rPr>
        <w:t>por</w:t>
      </w:r>
      <w:r>
        <w:rPr>
          <w:b/>
          <w:bCs/>
        </w:rPr>
        <w:t xml:space="preserve"> videoconferencia </w:t>
      </w:r>
      <w:r w:rsidRPr="00094370">
        <w:rPr>
          <w:b/>
          <w:bCs/>
        </w:rPr>
        <w:t xml:space="preserve">el </w:t>
      </w:r>
      <w:r>
        <w:rPr>
          <w:b/>
          <w:bCs/>
        </w:rPr>
        <w:t>4</w:t>
      </w:r>
      <w:r w:rsidRPr="00094370">
        <w:rPr>
          <w:b/>
          <w:bCs/>
        </w:rPr>
        <w:t>º Comité de Mercados</w:t>
      </w:r>
      <w:r>
        <w:rPr>
          <w:b/>
          <w:bCs/>
        </w:rPr>
        <w:t xml:space="preserve"> Nacionales (</w:t>
      </w:r>
      <w:r w:rsidR="007B026E">
        <w:rPr>
          <w:b/>
          <w:bCs/>
        </w:rPr>
        <w:t>CMN</w:t>
      </w:r>
      <w:r>
        <w:rPr>
          <w:b/>
          <w:bCs/>
        </w:rPr>
        <w:t>)</w:t>
      </w:r>
      <w:r w:rsidRPr="00094370">
        <w:rPr>
          <w:b/>
          <w:bCs/>
        </w:rPr>
        <w:t xml:space="preserve">, reuniendo a </w:t>
      </w:r>
      <w:r>
        <w:rPr>
          <w:b/>
          <w:bCs/>
        </w:rPr>
        <w:t xml:space="preserve">los </w:t>
      </w:r>
      <w:r w:rsidRPr="00094370">
        <w:rPr>
          <w:b/>
          <w:bCs/>
        </w:rPr>
        <w:t>ejecutivos de distintas instituciones y asociaciones</w:t>
      </w:r>
      <w:r>
        <w:rPr>
          <w:b/>
          <w:bCs/>
        </w:rPr>
        <w:t xml:space="preserve"> del sector</w:t>
      </w:r>
      <w:r w:rsidRPr="00094370">
        <w:rPr>
          <w:b/>
          <w:bCs/>
        </w:rPr>
        <w:t xml:space="preserve"> financier</w:t>
      </w:r>
      <w:r>
        <w:rPr>
          <w:b/>
          <w:bCs/>
        </w:rPr>
        <w:t>o</w:t>
      </w:r>
      <w:r w:rsidRPr="00094370">
        <w:rPr>
          <w:b/>
          <w:bCs/>
        </w:rPr>
        <w:t xml:space="preserve"> del mercado local. En esta oportunidad, </w:t>
      </w:r>
      <w:r>
        <w:rPr>
          <w:b/>
          <w:bCs/>
        </w:rPr>
        <w:t xml:space="preserve">Matías Bernier, Gerente de Estudios de la Asociación de Bancos e Instituciones Financieras (ABIF), </w:t>
      </w:r>
      <w:r w:rsidRPr="00094370">
        <w:rPr>
          <w:b/>
          <w:bCs/>
        </w:rPr>
        <w:t xml:space="preserve">realizó una presentación </w:t>
      </w:r>
      <w:r>
        <w:rPr>
          <w:b/>
          <w:bCs/>
        </w:rPr>
        <w:t>sobre</w:t>
      </w:r>
      <w:r w:rsidR="00C53A03">
        <w:rPr>
          <w:b/>
          <w:bCs/>
        </w:rPr>
        <w:t xml:space="preserve"> </w:t>
      </w:r>
      <w:r w:rsidR="00F316B9">
        <w:rPr>
          <w:b/>
          <w:bCs/>
        </w:rPr>
        <w:t>las gestiones</w:t>
      </w:r>
      <w:r w:rsidR="00C53A03">
        <w:rPr>
          <w:b/>
          <w:bCs/>
        </w:rPr>
        <w:t xml:space="preserve"> </w:t>
      </w:r>
      <w:r w:rsidR="00F316B9">
        <w:rPr>
          <w:b/>
          <w:bCs/>
        </w:rPr>
        <w:t>de transición</w:t>
      </w:r>
      <w:r>
        <w:rPr>
          <w:b/>
          <w:bCs/>
        </w:rPr>
        <w:t xml:space="preserve"> de la tasa LIBOR</w:t>
      </w:r>
      <w:r w:rsidR="00C53A03">
        <w:rPr>
          <w:b/>
          <w:bCs/>
        </w:rPr>
        <w:t xml:space="preserve"> a nivel internacional</w:t>
      </w:r>
      <w:r>
        <w:rPr>
          <w:b/>
          <w:bCs/>
        </w:rPr>
        <w:t xml:space="preserve">, explicando </w:t>
      </w:r>
      <w:r w:rsidR="00C53A03">
        <w:rPr>
          <w:b/>
          <w:bCs/>
        </w:rPr>
        <w:t xml:space="preserve">a su vez </w:t>
      </w:r>
      <w:r>
        <w:rPr>
          <w:b/>
          <w:bCs/>
        </w:rPr>
        <w:t>d</w:t>
      </w:r>
      <w:r w:rsidR="002560BE">
        <w:rPr>
          <w:b/>
          <w:bCs/>
        </w:rPr>
        <w:t>ó</w:t>
      </w:r>
      <w:r>
        <w:rPr>
          <w:b/>
          <w:bCs/>
        </w:rPr>
        <w:t xml:space="preserve">nde se ubica el mercado chileno </w:t>
      </w:r>
      <w:r w:rsidR="00DF6BEF">
        <w:rPr>
          <w:b/>
          <w:bCs/>
        </w:rPr>
        <w:t>y qu</w:t>
      </w:r>
      <w:r w:rsidR="002560BE">
        <w:rPr>
          <w:b/>
          <w:bCs/>
        </w:rPr>
        <w:t>é</w:t>
      </w:r>
      <w:r w:rsidR="00DF6BEF">
        <w:rPr>
          <w:b/>
          <w:bCs/>
        </w:rPr>
        <w:t xml:space="preserve"> </w:t>
      </w:r>
      <w:r w:rsidR="00760390">
        <w:rPr>
          <w:b/>
          <w:bCs/>
        </w:rPr>
        <w:t xml:space="preserve">desafíos </w:t>
      </w:r>
      <w:r w:rsidR="00DF6BEF">
        <w:rPr>
          <w:b/>
          <w:bCs/>
        </w:rPr>
        <w:t>se deben abordar para realizar los</w:t>
      </w:r>
      <w:r w:rsidR="00760390">
        <w:rPr>
          <w:b/>
          <w:bCs/>
        </w:rPr>
        <w:t xml:space="preserve"> cambios en </w:t>
      </w:r>
      <w:r>
        <w:rPr>
          <w:b/>
          <w:bCs/>
        </w:rPr>
        <w:t xml:space="preserve">los contratos de créditos </w:t>
      </w:r>
      <w:r w:rsidR="00F316B9">
        <w:rPr>
          <w:b/>
          <w:bCs/>
        </w:rPr>
        <w:t>e instrumentos</w:t>
      </w:r>
      <w:r>
        <w:rPr>
          <w:b/>
          <w:bCs/>
        </w:rPr>
        <w:t xml:space="preserve"> derivados</w:t>
      </w:r>
      <w:r w:rsidR="00F316B9">
        <w:rPr>
          <w:b/>
          <w:bCs/>
        </w:rPr>
        <w:t xml:space="preserve"> indexados a este índice</w:t>
      </w:r>
      <w:r>
        <w:rPr>
          <w:b/>
          <w:bCs/>
        </w:rPr>
        <w:t>.</w:t>
      </w:r>
      <w:r w:rsidR="00046B6D">
        <w:rPr>
          <w:b/>
          <w:bCs/>
        </w:rPr>
        <w:t xml:space="preserve"> </w:t>
      </w:r>
      <w:proofErr w:type="gramStart"/>
      <w:r w:rsidR="00046B6D" w:rsidRPr="00046B6D">
        <w:rPr>
          <w:b/>
          <w:bCs/>
          <w:color w:val="00B0F0"/>
        </w:rPr>
        <w:t>Link</w:t>
      </w:r>
      <w:proofErr w:type="gramEnd"/>
      <w:r w:rsidR="00046B6D" w:rsidRPr="00046B6D">
        <w:rPr>
          <w:b/>
          <w:bCs/>
          <w:color w:val="00B0F0"/>
        </w:rPr>
        <w:t xml:space="preserve"> Presentación</w:t>
      </w:r>
    </w:p>
    <w:p w14:paraId="0EDB801B" w14:textId="63DF2523" w:rsidR="00FB42D1" w:rsidRPr="00FB42D1" w:rsidRDefault="00FB42D1" w:rsidP="00D77681">
      <w:pPr>
        <w:jc w:val="both"/>
        <w:rPr>
          <w:b/>
          <w:bCs/>
        </w:rPr>
      </w:pPr>
      <w:r w:rsidRPr="00B73DD6">
        <w:rPr>
          <w:b/>
          <w:bCs/>
        </w:rPr>
        <w:t xml:space="preserve">La problemática anterior se sitúa en el contexto de que la </w:t>
      </w:r>
      <w:proofErr w:type="spellStart"/>
      <w:r w:rsidRPr="00B73DD6">
        <w:rPr>
          <w:b/>
          <w:bCs/>
        </w:rPr>
        <w:t>Financial</w:t>
      </w:r>
      <w:proofErr w:type="spellEnd"/>
      <w:r w:rsidRPr="00B73DD6">
        <w:rPr>
          <w:b/>
          <w:bCs/>
        </w:rPr>
        <w:t xml:space="preserve"> </w:t>
      </w:r>
      <w:proofErr w:type="spellStart"/>
      <w:r w:rsidRPr="00B73DD6">
        <w:rPr>
          <w:b/>
          <w:bCs/>
        </w:rPr>
        <w:t>Conduct</w:t>
      </w:r>
      <w:proofErr w:type="spellEnd"/>
      <w:r w:rsidRPr="00B73DD6">
        <w:rPr>
          <w:b/>
          <w:bCs/>
        </w:rPr>
        <w:t xml:space="preserve"> </w:t>
      </w:r>
      <w:proofErr w:type="spellStart"/>
      <w:r w:rsidRPr="00B73DD6">
        <w:rPr>
          <w:b/>
          <w:bCs/>
        </w:rPr>
        <w:t>Authority</w:t>
      </w:r>
      <w:proofErr w:type="spellEnd"/>
      <w:r w:rsidRPr="00B73DD6">
        <w:rPr>
          <w:b/>
          <w:bCs/>
        </w:rPr>
        <w:t xml:space="preserve"> (FCA) anunció que a partir del cierre de 2021 no se citará al panel de bancos a participar del proceso de entrega de la LIBOR y se detendrá el monitoreo de las tasas referenciales. La razón principal es la insuficiencia de la frecuencia y volumen de transacciones que permita sustentar parámetros relevantes para los mercados.</w:t>
      </w:r>
    </w:p>
    <w:p w14:paraId="2EA695F4" w14:textId="752E5E10" w:rsidR="00CB0346" w:rsidRPr="00F316B9" w:rsidRDefault="00CB0346" w:rsidP="00D77681">
      <w:pPr>
        <w:jc w:val="both"/>
        <w:rPr>
          <w:b/>
          <w:bCs/>
        </w:rPr>
      </w:pPr>
      <w:r>
        <w:rPr>
          <w:b/>
        </w:rPr>
        <w:t xml:space="preserve">En ese escenario, luego de la </w:t>
      </w:r>
      <w:r w:rsidR="002560BE">
        <w:rPr>
          <w:b/>
        </w:rPr>
        <w:t>exposición</w:t>
      </w:r>
      <w:r w:rsidR="007B026E">
        <w:rPr>
          <w:b/>
        </w:rPr>
        <w:t xml:space="preserve"> y</w:t>
      </w:r>
      <w:r>
        <w:rPr>
          <w:b/>
        </w:rPr>
        <w:t xml:space="preserve"> </w:t>
      </w:r>
      <w:r w:rsidR="001D3B3B">
        <w:rPr>
          <w:b/>
        </w:rPr>
        <w:t xml:space="preserve">tras presentar una evaluación sobre el mercado local </w:t>
      </w:r>
      <w:r>
        <w:rPr>
          <w:b/>
        </w:rPr>
        <w:t>para discutir sobre las implicancias de estos cambios y los próximos pasos a seguir</w:t>
      </w:r>
      <w:r w:rsidR="007B026E">
        <w:rPr>
          <w:b/>
        </w:rPr>
        <w:t>, se</w:t>
      </w:r>
      <w:r w:rsidR="00A030AC">
        <w:rPr>
          <w:b/>
        </w:rPr>
        <w:t xml:space="preserve"> dio la palabra</w:t>
      </w:r>
      <w:r w:rsidR="007B026E">
        <w:rPr>
          <w:b/>
        </w:rPr>
        <w:t xml:space="preserve"> a los miembros del </w:t>
      </w:r>
      <w:r w:rsidR="00A030AC">
        <w:rPr>
          <w:b/>
        </w:rPr>
        <w:t>C</w:t>
      </w:r>
      <w:r w:rsidR="007B026E">
        <w:rPr>
          <w:b/>
        </w:rPr>
        <w:t>omité</w:t>
      </w:r>
      <w:r>
        <w:rPr>
          <w:b/>
        </w:rPr>
        <w:t>.</w:t>
      </w:r>
    </w:p>
    <w:p w14:paraId="2119CC84" w14:textId="77777777" w:rsidR="007A3BA3" w:rsidRDefault="00896E6E" w:rsidP="00D77681">
      <w:pPr>
        <w:jc w:val="both"/>
        <w:rPr>
          <w:b/>
          <w:bCs/>
        </w:rPr>
      </w:pPr>
      <w:r>
        <w:rPr>
          <w:b/>
          <w:bCs/>
        </w:rPr>
        <w:t>El d</w:t>
      </w:r>
      <w:r w:rsidR="00CB0346" w:rsidRPr="00094370">
        <w:rPr>
          <w:b/>
          <w:bCs/>
        </w:rPr>
        <w:t>ebate de los asistentes</w:t>
      </w:r>
      <w:r>
        <w:rPr>
          <w:b/>
          <w:bCs/>
        </w:rPr>
        <w:t xml:space="preserve"> </w:t>
      </w:r>
      <w:r w:rsidR="00CB0346" w:rsidRPr="00094370">
        <w:rPr>
          <w:b/>
          <w:bCs/>
        </w:rPr>
        <w:t>se resume en la siguiente Minuta</w:t>
      </w:r>
      <w:r w:rsidR="00CB0346" w:rsidRPr="00094370">
        <w:rPr>
          <w:rStyle w:val="Refdenotaalpie"/>
          <w:b/>
          <w:bCs/>
        </w:rPr>
        <w:footnoteReference w:id="1"/>
      </w:r>
      <w:r w:rsidR="00CB0346" w:rsidRPr="00094370">
        <w:rPr>
          <w:b/>
          <w:bCs/>
        </w:rPr>
        <w:t>.</w:t>
      </w:r>
    </w:p>
    <w:p w14:paraId="05764232" w14:textId="206B78D9" w:rsidR="006D03FC" w:rsidRPr="007A3BA3" w:rsidRDefault="006D03FC" w:rsidP="00D77681">
      <w:pPr>
        <w:jc w:val="both"/>
        <w:rPr>
          <w:b/>
          <w:bCs/>
        </w:rPr>
      </w:pPr>
      <w:r>
        <w:t xml:space="preserve">Los miembros comentaron sobre el amplio uso que ha tenido la LIBOR como </w:t>
      </w:r>
      <w:proofErr w:type="spellStart"/>
      <w:r w:rsidRPr="00394C23">
        <w:rPr>
          <w:i/>
          <w:iCs/>
        </w:rPr>
        <w:t>benchmark</w:t>
      </w:r>
      <w:proofErr w:type="spellEnd"/>
      <w:r>
        <w:t xml:space="preserve"> de corto </w:t>
      </w:r>
      <w:r w:rsidR="00AA348F">
        <w:t xml:space="preserve">y largo </w:t>
      </w:r>
      <w:r>
        <w:t>plazo</w:t>
      </w:r>
      <w:r w:rsidR="002560BE">
        <w:t>,</w:t>
      </w:r>
      <w:r>
        <w:t xml:space="preserve"> tanto para financiamiento externo como instrumentos </w:t>
      </w:r>
      <w:r w:rsidR="002560BE">
        <w:t>d</w:t>
      </w:r>
      <w:r>
        <w:t xml:space="preserve">el mercado local. Por lo mismo, si bien el proceso de cambio a nivel global ya comenzó, es muy importante que en el foco local </w:t>
      </w:r>
      <w:r w:rsidR="002560BE">
        <w:t xml:space="preserve">se </w:t>
      </w:r>
      <w:r>
        <w:t>realice esta transición de forma gradual</w:t>
      </w:r>
      <w:r w:rsidR="002560BE">
        <w:t>,</w:t>
      </w:r>
      <w:r>
        <w:t xml:space="preserve"> con el fin de evitar cambios drásticos en la asignación de precios ante las tasas de reemplazo para colocaciones comerciales, créditos, derivados locales y pagarés.</w:t>
      </w:r>
    </w:p>
    <w:p w14:paraId="5BE3D6D5" w14:textId="0C7C9FAB" w:rsidR="003B5D19" w:rsidRDefault="00362D91" w:rsidP="00D77681">
      <w:pPr>
        <w:jc w:val="both"/>
      </w:pPr>
      <w:r>
        <w:t xml:space="preserve">Hubo </w:t>
      </w:r>
      <w:r w:rsidR="007A3BA3">
        <w:t>consenso entre l</w:t>
      </w:r>
      <w:r w:rsidR="00323510">
        <w:t xml:space="preserve">os miembros del </w:t>
      </w:r>
      <w:r w:rsidR="003B5D19">
        <w:t xml:space="preserve">Comité </w:t>
      </w:r>
      <w:r w:rsidR="000C0948">
        <w:t xml:space="preserve">es el de adherirse </w:t>
      </w:r>
      <w:r w:rsidR="006D03FC">
        <w:t xml:space="preserve">a la </w:t>
      </w:r>
      <w:r w:rsidR="003B5D19">
        <w:t>prop</w:t>
      </w:r>
      <w:r w:rsidR="006D03FC">
        <w:t xml:space="preserve">uesta de </w:t>
      </w:r>
      <w:r w:rsidR="007A3BA3">
        <w:t>alin</w:t>
      </w:r>
      <w:r w:rsidR="002560BE">
        <w:t>e</w:t>
      </w:r>
      <w:r w:rsidR="007A3BA3">
        <w:t xml:space="preserve">ar </w:t>
      </w:r>
      <w:r w:rsidR="003B5D19">
        <w:t xml:space="preserve">los contratos de </w:t>
      </w:r>
      <w:r w:rsidR="007A3BA3">
        <w:t>deriva</w:t>
      </w:r>
      <w:r w:rsidR="003B5D19">
        <w:t>dos locales indexados a LIBOR a la propuesta de reemplazo propuesta por ISDA (</w:t>
      </w:r>
      <w:r w:rsidR="003B5D19" w:rsidRPr="003B5D19">
        <w:rPr>
          <w:i/>
          <w:iCs/>
        </w:rPr>
        <w:t xml:space="preserve">International Swap and </w:t>
      </w:r>
      <w:proofErr w:type="spellStart"/>
      <w:r w:rsidR="003B5D19" w:rsidRPr="003B5D19">
        <w:rPr>
          <w:i/>
          <w:iCs/>
        </w:rPr>
        <w:t>Derivatives</w:t>
      </w:r>
      <w:proofErr w:type="spellEnd"/>
      <w:r w:rsidR="003B5D19" w:rsidRPr="003B5D19">
        <w:rPr>
          <w:i/>
          <w:iCs/>
        </w:rPr>
        <w:t xml:space="preserve"> </w:t>
      </w:r>
      <w:proofErr w:type="spellStart"/>
      <w:r w:rsidR="003B5D19" w:rsidRPr="003B5D19">
        <w:rPr>
          <w:i/>
          <w:iCs/>
        </w:rPr>
        <w:t>Association</w:t>
      </w:r>
      <w:proofErr w:type="spellEnd"/>
      <w:r w:rsidR="003B5D19">
        <w:t xml:space="preserve">), con el fin de evitar inconsistencias con los derivados entre locales y agentes internacionales </w:t>
      </w:r>
      <w:r w:rsidR="00AA348F">
        <w:t>–</w:t>
      </w:r>
      <w:r w:rsidR="003B5D19">
        <w:t xml:space="preserve"> </w:t>
      </w:r>
      <w:r w:rsidR="00AA348F">
        <w:t xml:space="preserve">derivados </w:t>
      </w:r>
      <w:proofErr w:type="spellStart"/>
      <w:r w:rsidR="003B5D19" w:rsidRPr="003B5D19">
        <w:rPr>
          <w:i/>
          <w:iCs/>
        </w:rPr>
        <w:t>cross</w:t>
      </w:r>
      <w:proofErr w:type="spellEnd"/>
      <w:r w:rsidR="003B5D19" w:rsidRPr="003B5D19">
        <w:rPr>
          <w:i/>
          <w:iCs/>
        </w:rPr>
        <w:t xml:space="preserve"> </w:t>
      </w:r>
      <w:proofErr w:type="spellStart"/>
      <w:r w:rsidR="003B5D19" w:rsidRPr="003B5D19">
        <w:rPr>
          <w:i/>
          <w:iCs/>
        </w:rPr>
        <w:t>border</w:t>
      </w:r>
      <w:proofErr w:type="spellEnd"/>
      <w:r w:rsidR="003B5D19">
        <w:t>.</w:t>
      </w:r>
    </w:p>
    <w:p w14:paraId="23FA9E26" w14:textId="3A874CE1" w:rsidR="00AA0C15" w:rsidRPr="00A222B5" w:rsidRDefault="00D77681" w:rsidP="00D77681">
      <w:pPr>
        <w:jc w:val="both"/>
      </w:pPr>
      <w:r w:rsidRPr="00A222B5">
        <w:t>Un miembro aclara que</w:t>
      </w:r>
      <w:r w:rsidR="00045AC2" w:rsidRPr="00A222B5">
        <w:t>,</w:t>
      </w:r>
      <w:r w:rsidRPr="00A222B5">
        <w:t xml:space="preserve"> si b</w:t>
      </w:r>
      <w:r w:rsidR="00323510" w:rsidRPr="00A222B5">
        <w:t>ien cada jurisdicción ha trabajado en alternativas</w:t>
      </w:r>
      <w:r w:rsidR="00AA348F" w:rsidRPr="00A222B5">
        <w:t xml:space="preserve"> de reemplazo</w:t>
      </w:r>
      <w:r w:rsidR="00323510" w:rsidRPr="00A222B5">
        <w:t xml:space="preserve">, a nivel internacional solo se han definido tasas </w:t>
      </w:r>
      <w:r w:rsidR="00394C23" w:rsidRPr="00A222B5">
        <w:t>en el corto plazo</w:t>
      </w:r>
      <w:r w:rsidR="00323510" w:rsidRPr="00A222B5">
        <w:t xml:space="preserve"> y no existe consenso sobre las tasas </w:t>
      </w:r>
      <w:r w:rsidR="00AA348F" w:rsidRPr="00A222B5">
        <w:t>en el</w:t>
      </w:r>
      <w:r w:rsidR="00AA0C15" w:rsidRPr="00A222B5">
        <w:t xml:space="preserve"> </w:t>
      </w:r>
      <w:r w:rsidR="00896E6E" w:rsidRPr="00A222B5">
        <w:t xml:space="preserve">largo </w:t>
      </w:r>
      <w:r w:rsidR="00323510" w:rsidRPr="00A222B5">
        <w:t>plaz</w:t>
      </w:r>
      <w:r w:rsidRPr="00A222B5">
        <w:t xml:space="preserve">o. </w:t>
      </w:r>
      <w:r w:rsidR="00A222B5" w:rsidRPr="00A222B5">
        <w:t xml:space="preserve">Si bien la mayor parte de los contratos se podrían asociar a SOFR, existen muchas </w:t>
      </w:r>
      <w:r w:rsidR="00A222B5" w:rsidRPr="00A222B5">
        <w:lastRenderedPageBreak/>
        <w:t>variantes disponibles</w:t>
      </w:r>
      <w:r w:rsidR="000C0948">
        <w:t xml:space="preserve"> de la misma </w:t>
      </w:r>
      <w:r w:rsidR="00A222B5" w:rsidRPr="00A222B5">
        <w:t xml:space="preserve">y no habría una </w:t>
      </w:r>
      <w:r w:rsidR="000C0948">
        <w:t>sola</w:t>
      </w:r>
      <w:r w:rsidR="00A222B5" w:rsidRPr="00A222B5">
        <w:t xml:space="preserve"> solución. Distintos contratos requerirían de negociaciones bilaterales más que una regla única, agregando las cláusulas pertinentes.</w:t>
      </w:r>
    </w:p>
    <w:p w14:paraId="13D3A0DF" w14:textId="368E8BD7" w:rsidR="00133F45" w:rsidRPr="00A222B5" w:rsidRDefault="00D77681" w:rsidP="00133F45">
      <w:pPr>
        <w:jc w:val="both"/>
      </w:pPr>
      <w:r w:rsidRPr="00A222B5">
        <w:t xml:space="preserve">En línea con lo anterior, </w:t>
      </w:r>
      <w:r w:rsidR="00016DF7" w:rsidRPr="00A222B5">
        <w:t xml:space="preserve">los agentes bancarios </w:t>
      </w:r>
      <w:r w:rsidR="00133F45" w:rsidRPr="00A222B5">
        <w:t xml:space="preserve">manifiestan </w:t>
      </w:r>
      <w:r w:rsidR="00016DF7" w:rsidRPr="00A222B5">
        <w:t xml:space="preserve">que se </w:t>
      </w:r>
      <w:r w:rsidR="000C0948">
        <w:t>estaría</w:t>
      </w:r>
      <w:r w:rsidR="00016DF7" w:rsidRPr="00A222B5">
        <w:t xml:space="preserve"> evaluando </w:t>
      </w:r>
      <w:r w:rsidRPr="00A222B5">
        <w:t xml:space="preserve">la introducción de otras tasas de referencia, analizando tanto el efecto que tendría en las tasas de sus contratos actuales como el </w:t>
      </w:r>
      <w:r w:rsidRPr="000C0948">
        <w:rPr>
          <w:i/>
          <w:iCs/>
        </w:rPr>
        <w:t>timing</w:t>
      </w:r>
      <w:r w:rsidRPr="00A222B5">
        <w:t xml:space="preserve"> de la transición, identificando los pasos en el desarrollo de índices para los sistemas y valorización de sus contratos en el mercado local.</w:t>
      </w:r>
      <w:r w:rsidR="00133F45" w:rsidRPr="00A222B5">
        <w:t xml:space="preserve"> Lo anterior implicaría la necesidad de generar un consenso al respecto, destacando que existen mesas de trabajo a nivel de </w:t>
      </w:r>
      <w:r w:rsidR="000C0948">
        <w:t>instituciones bancarias</w:t>
      </w:r>
      <w:r w:rsidR="00133F45" w:rsidRPr="00A222B5">
        <w:t xml:space="preserve"> con el objetivo de desarrollar alternativas de transición. </w:t>
      </w:r>
    </w:p>
    <w:p w14:paraId="5795660C" w14:textId="7A0AC956" w:rsidR="00AA348F" w:rsidRDefault="001B5C11" w:rsidP="00D77681">
      <w:pPr>
        <w:jc w:val="both"/>
      </w:pPr>
      <w:r>
        <w:t>No obstante, m</w:t>
      </w:r>
      <w:r w:rsidR="00133F45">
        <w:t>iembros no</w:t>
      </w:r>
      <w:r w:rsidR="00394C23">
        <w:t xml:space="preserve"> bancarios</w:t>
      </w:r>
      <w:r w:rsidR="00AA348F">
        <w:t>, ante la falta de consenso y proximidad del cambio de tasas,</w:t>
      </w:r>
      <w:r w:rsidR="00394C23">
        <w:t xml:space="preserve"> </w:t>
      </w:r>
      <w:r w:rsidR="0083007C">
        <w:t xml:space="preserve">levantaron sus preocupaciones sobre </w:t>
      </w:r>
      <w:r w:rsidR="00394C23">
        <w:t xml:space="preserve">los contratos anclados a </w:t>
      </w:r>
      <w:r w:rsidR="003A39B9">
        <w:t>LIBOR</w:t>
      </w:r>
      <w:r w:rsidR="00394C23">
        <w:t xml:space="preserve"> tras el cese de su publicación</w:t>
      </w:r>
      <w:r w:rsidR="00AA348F">
        <w:t xml:space="preserve">. Particularmente, </w:t>
      </w:r>
      <w:r w:rsidR="0069633C">
        <w:t xml:space="preserve">la necesidad de abordar bilateralmente todos estos casos que </w:t>
      </w:r>
      <w:r w:rsidR="00394C23">
        <w:t>aún</w:t>
      </w:r>
      <w:r w:rsidR="0069633C">
        <w:t xml:space="preserve"> no tienen una </w:t>
      </w:r>
      <w:r w:rsidR="00394C23">
        <w:t>solución</w:t>
      </w:r>
      <w:r w:rsidR="0069633C">
        <w:t xml:space="preserve"> definitiva y consensuada por todas las partes involucradas en el mercado local.</w:t>
      </w:r>
      <w:r w:rsidR="00016DF7">
        <w:t xml:space="preserve"> </w:t>
      </w:r>
      <w:r w:rsidR="00045AC2">
        <w:t>Adicionalmente,</w:t>
      </w:r>
      <w:r w:rsidR="00016DF7">
        <w:t xml:space="preserve"> la falta de un </w:t>
      </w:r>
      <w:proofErr w:type="spellStart"/>
      <w:r w:rsidR="00016DF7" w:rsidRPr="00045AC2">
        <w:rPr>
          <w:i/>
          <w:iCs/>
        </w:rPr>
        <w:t>be</w:t>
      </w:r>
      <w:r w:rsidR="00045AC2" w:rsidRPr="00045AC2">
        <w:rPr>
          <w:i/>
          <w:iCs/>
        </w:rPr>
        <w:t>n</w:t>
      </w:r>
      <w:r w:rsidR="00016DF7" w:rsidRPr="00045AC2">
        <w:rPr>
          <w:i/>
          <w:iCs/>
        </w:rPr>
        <w:t>chmark</w:t>
      </w:r>
      <w:proofErr w:type="spellEnd"/>
      <w:r w:rsidR="00016DF7">
        <w:t xml:space="preserve"> para instrumentos de largo plazo podría generar traspas</w:t>
      </w:r>
      <w:r w:rsidR="00045AC2">
        <w:t>os</w:t>
      </w:r>
      <w:r w:rsidR="00016DF7">
        <w:t xml:space="preserve"> de valor o posibles arbitrajes.</w:t>
      </w:r>
    </w:p>
    <w:p w14:paraId="646DE4E9" w14:textId="4E642938" w:rsidR="0069633C" w:rsidRDefault="0069633C" w:rsidP="00D77681">
      <w:pPr>
        <w:jc w:val="both"/>
      </w:pPr>
      <w:r>
        <w:t xml:space="preserve">Según cronograma, algunos miembros del Comité informaron que para </w:t>
      </w:r>
      <w:r w:rsidR="000F1CED">
        <w:t>final</w:t>
      </w:r>
      <w:r w:rsidR="001E71B0">
        <w:t>es</w:t>
      </w:r>
      <w:r w:rsidR="000F1CED">
        <w:t xml:space="preserve"> de este año los bancos en general, en conjunto con </w:t>
      </w:r>
      <w:proofErr w:type="spellStart"/>
      <w:r w:rsidR="000F1CED">
        <w:t>Com</w:t>
      </w:r>
      <w:r w:rsidR="00045AC2">
        <w:t>d</w:t>
      </w:r>
      <w:r w:rsidR="000F1CED">
        <w:t>er</w:t>
      </w:r>
      <w:proofErr w:type="spellEnd"/>
      <w:r w:rsidR="000F1CED">
        <w:t>, acordar</w:t>
      </w:r>
      <w:r w:rsidR="001E71B0">
        <w:t>án</w:t>
      </w:r>
      <w:r w:rsidR="000F1CED">
        <w:t xml:space="preserve"> una metodología con los grandes partícipes del mercado sobre las tasas de referencia que utilizar</w:t>
      </w:r>
      <w:r w:rsidR="00A222B5">
        <w:t>á</w:t>
      </w:r>
      <w:r w:rsidR="000F1CED">
        <w:t>n</w:t>
      </w:r>
      <w:r w:rsidR="001E71B0">
        <w:t>, basadas en el estándar que se adopte internacionalmente.</w:t>
      </w:r>
      <w:r w:rsidR="006F7B76">
        <w:t xml:space="preserve"> </w:t>
      </w:r>
      <w:r w:rsidR="001E71B0">
        <w:t>A</w:t>
      </w:r>
      <w:r w:rsidR="006F7B76">
        <w:t>ctualmente la banca no ha llegado a un acuerdo</w:t>
      </w:r>
      <w:r w:rsidR="000F1CED">
        <w:t>.</w:t>
      </w:r>
      <w:r w:rsidR="006F7B76">
        <w:t xml:space="preserve"> En general</w:t>
      </w:r>
      <w:r w:rsidR="001E71B0">
        <w:t>,</w:t>
      </w:r>
      <w:r w:rsidR="006F7B76">
        <w:t xml:space="preserve"> los agentes consideran que un camino plausible es seguir lo</w:t>
      </w:r>
      <w:r w:rsidR="001E71B0">
        <w:t>s pasos de l</w:t>
      </w:r>
      <w:r w:rsidR="006F7B76">
        <w:t xml:space="preserve">os agentes no residentes, mientras que </w:t>
      </w:r>
      <w:r w:rsidR="000F1CED">
        <w:t>los otros miembros del Comité pertenecientes a otras industrias quisieran recibir más información al respecto puesto que el tema actualmente genera incertidumbre.</w:t>
      </w:r>
      <w:r w:rsidR="00016DF7">
        <w:t xml:space="preserve"> Por lo mismo, </w:t>
      </w:r>
      <w:r w:rsidR="00133F45">
        <w:t>plantean</w:t>
      </w:r>
      <w:r w:rsidR="00016DF7">
        <w:t xml:space="preserve"> realizar a través de este </w:t>
      </w:r>
      <w:r w:rsidR="00133F45">
        <w:t>C</w:t>
      </w:r>
      <w:r w:rsidR="00016DF7">
        <w:t>omité reuni</w:t>
      </w:r>
      <w:r w:rsidR="00A222B5">
        <w:t>ones</w:t>
      </w:r>
      <w:r w:rsidR="00016DF7">
        <w:t xml:space="preserve"> de actualización sobre esta transición de reemplazo de la LIBOR. </w:t>
      </w:r>
    </w:p>
    <w:p w14:paraId="03671E8E" w14:textId="4F48D049" w:rsidR="006F7B76" w:rsidRDefault="006F7B76" w:rsidP="00D77681">
      <w:pPr>
        <w:jc w:val="both"/>
      </w:pPr>
      <w:r>
        <w:br w:type="page"/>
      </w:r>
    </w:p>
    <w:tbl>
      <w:tblPr>
        <w:tblStyle w:val="Tablaconcuadrculaclara"/>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552"/>
      </w:tblGrid>
      <w:tr w:rsidR="007B026E" w:rsidRPr="006F7B76" w14:paraId="4AD79766" w14:textId="77777777" w:rsidTr="003A39B9">
        <w:trPr>
          <w:trHeight w:val="300"/>
        </w:trPr>
        <w:tc>
          <w:tcPr>
            <w:tcW w:w="3397" w:type="dxa"/>
            <w:noWrap/>
            <w:hideMark/>
          </w:tcPr>
          <w:p w14:paraId="0E3FA38E" w14:textId="77777777" w:rsidR="007B026E" w:rsidRPr="006F7B76" w:rsidRDefault="007B026E" w:rsidP="00D77681">
            <w:pPr>
              <w:jc w:val="both"/>
              <w:rPr>
                <w:rFonts w:ascii="Calibri" w:eastAsia="Times New Roman" w:hAnsi="Calibri" w:cs="Calibri"/>
                <w:b/>
                <w:bCs/>
                <w:color w:val="000000"/>
                <w:lang w:eastAsia="es-CL"/>
              </w:rPr>
            </w:pPr>
            <w:r w:rsidRPr="006F7B76">
              <w:rPr>
                <w:rFonts w:ascii="Calibri" w:eastAsia="Times New Roman" w:hAnsi="Calibri" w:cs="Calibri"/>
                <w:b/>
                <w:bCs/>
                <w:color w:val="000000"/>
                <w:lang w:eastAsia="es-CL"/>
              </w:rPr>
              <w:lastRenderedPageBreak/>
              <w:t>Organización</w:t>
            </w:r>
          </w:p>
        </w:tc>
        <w:tc>
          <w:tcPr>
            <w:tcW w:w="2552" w:type="dxa"/>
            <w:noWrap/>
            <w:hideMark/>
          </w:tcPr>
          <w:p w14:paraId="3A7237E8" w14:textId="77777777" w:rsidR="007B026E" w:rsidRPr="006F7B76" w:rsidRDefault="007B026E" w:rsidP="00D77681">
            <w:pPr>
              <w:jc w:val="both"/>
              <w:rPr>
                <w:rFonts w:ascii="Calibri" w:eastAsia="Times New Roman" w:hAnsi="Calibri" w:cs="Calibri"/>
                <w:b/>
                <w:bCs/>
                <w:color w:val="000000"/>
                <w:lang w:eastAsia="es-CL"/>
              </w:rPr>
            </w:pPr>
            <w:r w:rsidRPr="006F7B76">
              <w:rPr>
                <w:rFonts w:ascii="Calibri" w:eastAsia="Times New Roman" w:hAnsi="Calibri" w:cs="Calibri"/>
                <w:b/>
                <w:bCs/>
                <w:color w:val="000000"/>
                <w:lang w:eastAsia="es-CL"/>
              </w:rPr>
              <w:t>Participante</w:t>
            </w:r>
          </w:p>
        </w:tc>
      </w:tr>
      <w:tr w:rsidR="00F877FB" w:rsidRPr="006F7B76" w14:paraId="7E7FEE53" w14:textId="77777777" w:rsidTr="003A39B9">
        <w:trPr>
          <w:trHeight w:val="300"/>
        </w:trPr>
        <w:tc>
          <w:tcPr>
            <w:tcW w:w="3397" w:type="dxa"/>
            <w:noWrap/>
            <w:hideMark/>
          </w:tcPr>
          <w:p w14:paraId="7C687BF7"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AACH</w:t>
            </w:r>
          </w:p>
        </w:tc>
        <w:tc>
          <w:tcPr>
            <w:tcW w:w="2552" w:type="dxa"/>
            <w:noWrap/>
            <w:hideMark/>
          </w:tcPr>
          <w:p w14:paraId="4F68B1F5"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Patricia Arias</w:t>
            </w:r>
          </w:p>
        </w:tc>
      </w:tr>
      <w:tr w:rsidR="00F877FB" w:rsidRPr="006F7B76" w14:paraId="029FFD2C" w14:textId="77777777" w:rsidTr="003A39B9">
        <w:trPr>
          <w:trHeight w:val="300"/>
        </w:trPr>
        <w:tc>
          <w:tcPr>
            <w:tcW w:w="3397" w:type="dxa"/>
            <w:noWrap/>
            <w:hideMark/>
          </w:tcPr>
          <w:p w14:paraId="0CE6DCB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ABIF</w:t>
            </w:r>
          </w:p>
        </w:tc>
        <w:tc>
          <w:tcPr>
            <w:tcW w:w="2552" w:type="dxa"/>
            <w:noWrap/>
            <w:hideMark/>
          </w:tcPr>
          <w:p w14:paraId="0FAD339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Matías Bernier</w:t>
            </w:r>
          </w:p>
        </w:tc>
      </w:tr>
      <w:tr w:rsidR="00F877FB" w:rsidRPr="006F7B76" w14:paraId="1EDE1A10" w14:textId="77777777" w:rsidTr="003A39B9">
        <w:trPr>
          <w:trHeight w:val="300"/>
        </w:trPr>
        <w:tc>
          <w:tcPr>
            <w:tcW w:w="3397" w:type="dxa"/>
            <w:noWrap/>
            <w:hideMark/>
          </w:tcPr>
          <w:p w14:paraId="4EC03D00"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ACAFI</w:t>
            </w:r>
          </w:p>
        </w:tc>
        <w:tc>
          <w:tcPr>
            <w:tcW w:w="2552" w:type="dxa"/>
            <w:noWrap/>
            <w:hideMark/>
          </w:tcPr>
          <w:p w14:paraId="3FF115CC" w14:textId="339C5E21"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Virginia Fernández</w:t>
            </w:r>
          </w:p>
        </w:tc>
      </w:tr>
      <w:tr w:rsidR="00F877FB" w:rsidRPr="006F7B76" w14:paraId="3C1527D5" w14:textId="77777777" w:rsidTr="003A39B9">
        <w:trPr>
          <w:trHeight w:val="300"/>
        </w:trPr>
        <w:tc>
          <w:tcPr>
            <w:tcW w:w="3397" w:type="dxa"/>
            <w:noWrap/>
            <w:hideMark/>
          </w:tcPr>
          <w:p w14:paraId="499AA15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AFFMM</w:t>
            </w:r>
          </w:p>
        </w:tc>
        <w:tc>
          <w:tcPr>
            <w:tcW w:w="2552" w:type="dxa"/>
            <w:noWrap/>
            <w:hideMark/>
          </w:tcPr>
          <w:p w14:paraId="4C2B8188"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Macarena Ossa</w:t>
            </w:r>
          </w:p>
        </w:tc>
      </w:tr>
      <w:tr w:rsidR="00F877FB" w:rsidRPr="006F7B76" w14:paraId="1B761702" w14:textId="77777777" w:rsidTr="003A39B9">
        <w:trPr>
          <w:trHeight w:val="300"/>
        </w:trPr>
        <w:tc>
          <w:tcPr>
            <w:tcW w:w="3397" w:type="dxa"/>
            <w:noWrap/>
            <w:hideMark/>
          </w:tcPr>
          <w:p w14:paraId="12A5DFA9"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AFP Capital</w:t>
            </w:r>
          </w:p>
        </w:tc>
        <w:tc>
          <w:tcPr>
            <w:tcW w:w="2552" w:type="dxa"/>
            <w:noWrap/>
            <w:hideMark/>
          </w:tcPr>
          <w:p w14:paraId="0082229A"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Carlos Milla</w:t>
            </w:r>
          </w:p>
        </w:tc>
      </w:tr>
      <w:tr w:rsidR="00F877FB" w:rsidRPr="006F7B76" w14:paraId="7CE5F2AC" w14:textId="77777777" w:rsidTr="003A39B9">
        <w:trPr>
          <w:trHeight w:val="300"/>
        </w:trPr>
        <w:tc>
          <w:tcPr>
            <w:tcW w:w="3397" w:type="dxa"/>
            <w:noWrap/>
            <w:hideMark/>
          </w:tcPr>
          <w:p w14:paraId="1C5D6FE3" w14:textId="77777777" w:rsidR="00F877FB" w:rsidRPr="006F7B76" w:rsidRDefault="00F877FB" w:rsidP="00D77681">
            <w:pPr>
              <w:jc w:val="both"/>
              <w:rPr>
                <w:rFonts w:ascii="Calibri" w:eastAsia="Times New Roman" w:hAnsi="Calibri" w:cs="Calibri"/>
                <w:color w:val="000000"/>
                <w:lang w:eastAsia="es-CL"/>
              </w:rPr>
            </w:pPr>
            <w:r w:rsidRPr="00FE3975">
              <w:rPr>
                <w:rFonts w:ascii="Calibri" w:eastAsia="Times New Roman" w:hAnsi="Calibri" w:cs="Calibri"/>
                <w:color w:val="000000"/>
                <w:lang w:eastAsia="es-CL"/>
              </w:rPr>
              <w:t xml:space="preserve">AFP </w:t>
            </w:r>
            <w:proofErr w:type="spellStart"/>
            <w:r w:rsidRPr="00FE3975">
              <w:rPr>
                <w:rFonts w:ascii="Calibri" w:eastAsia="Times New Roman" w:hAnsi="Calibri" w:cs="Calibri"/>
                <w:color w:val="000000"/>
                <w:lang w:eastAsia="es-CL"/>
              </w:rPr>
              <w:t>Cuprum</w:t>
            </w:r>
            <w:proofErr w:type="spellEnd"/>
          </w:p>
        </w:tc>
        <w:tc>
          <w:tcPr>
            <w:tcW w:w="2552" w:type="dxa"/>
            <w:noWrap/>
            <w:hideMark/>
          </w:tcPr>
          <w:p w14:paraId="479A135F"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Andres García</w:t>
            </w:r>
          </w:p>
        </w:tc>
      </w:tr>
      <w:tr w:rsidR="00F877FB" w:rsidRPr="006F7B76" w14:paraId="1EF5CE27" w14:textId="77777777" w:rsidTr="003A39B9">
        <w:trPr>
          <w:trHeight w:val="300"/>
        </w:trPr>
        <w:tc>
          <w:tcPr>
            <w:tcW w:w="3397" w:type="dxa"/>
            <w:noWrap/>
            <w:hideMark/>
          </w:tcPr>
          <w:p w14:paraId="1C9B99D6"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 xml:space="preserve">AFP </w:t>
            </w:r>
            <w:proofErr w:type="spellStart"/>
            <w:r w:rsidRPr="00F877FB">
              <w:rPr>
                <w:rFonts w:ascii="Calibri" w:eastAsia="Times New Roman" w:hAnsi="Calibri" w:cs="Calibri"/>
                <w:color w:val="000000"/>
                <w:lang w:eastAsia="es-CL"/>
              </w:rPr>
              <w:t>Cuprum</w:t>
            </w:r>
            <w:proofErr w:type="spellEnd"/>
          </w:p>
        </w:tc>
        <w:tc>
          <w:tcPr>
            <w:tcW w:w="2552" w:type="dxa"/>
            <w:noWrap/>
            <w:hideMark/>
          </w:tcPr>
          <w:p w14:paraId="18696935"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Macarena Gandulfo</w:t>
            </w:r>
          </w:p>
        </w:tc>
      </w:tr>
      <w:tr w:rsidR="00F877FB" w:rsidRPr="006F7B76" w14:paraId="424BC037" w14:textId="77777777" w:rsidTr="003A39B9">
        <w:trPr>
          <w:trHeight w:val="300"/>
        </w:trPr>
        <w:tc>
          <w:tcPr>
            <w:tcW w:w="3397" w:type="dxa"/>
            <w:noWrap/>
            <w:hideMark/>
          </w:tcPr>
          <w:p w14:paraId="56F274F9"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 xml:space="preserve">AFP </w:t>
            </w:r>
            <w:proofErr w:type="spellStart"/>
            <w:r w:rsidRPr="00F877FB">
              <w:rPr>
                <w:rFonts w:ascii="Calibri" w:eastAsia="Times New Roman" w:hAnsi="Calibri" w:cs="Calibri"/>
                <w:color w:val="000000"/>
                <w:lang w:eastAsia="es-CL"/>
              </w:rPr>
              <w:t>Cuprum</w:t>
            </w:r>
            <w:proofErr w:type="spellEnd"/>
          </w:p>
        </w:tc>
        <w:tc>
          <w:tcPr>
            <w:tcW w:w="2552" w:type="dxa"/>
            <w:noWrap/>
            <w:hideMark/>
          </w:tcPr>
          <w:p w14:paraId="2E7E6740"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Sergio Rodriguez</w:t>
            </w:r>
          </w:p>
        </w:tc>
      </w:tr>
      <w:tr w:rsidR="00F877FB" w:rsidRPr="006F7B76" w14:paraId="15AAF4B3" w14:textId="77777777" w:rsidTr="003A39B9">
        <w:trPr>
          <w:trHeight w:val="300"/>
        </w:trPr>
        <w:tc>
          <w:tcPr>
            <w:tcW w:w="3397" w:type="dxa"/>
            <w:noWrap/>
            <w:hideMark/>
          </w:tcPr>
          <w:p w14:paraId="6F19E022"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AFP </w:t>
            </w:r>
            <w:proofErr w:type="spellStart"/>
            <w:r w:rsidRPr="006F7B76">
              <w:rPr>
                <w:rFonts w:ascii="Calibri" w:eastAsia="Times New Roman" w:hAnsi="Calibri" w:cs="Calibri"/>
                <w:color w:val="000000"/>
                <w:lang w:eastAsia="es-CL"/>
              </w:rPr>
              <w:t>Habitat</w:t>
            </w:r>
            <w:proofErr w:type="spellEnd"/>
          </w:p>
        </w:tc>
        <w:tc>
          <w:tcPr>
            <w:tcW w:w="2552" w:type="dxa"/>
            <w:noWrap/>
            <w:hideMark/>
          </w:tcPr>
          <w:p w14:paraId="4EB8769B"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Carolina Mery</w:t>
            </w:r>
          </w:p>
        </w:tc>
      </w:tr>
      <w:tr w:rsidR="00F877FB" w:rsidRPr="006F7B76" w14:paraId="1D264D3D" w14:textId="77777777" w:rsidTr="003A39B9">
        <w:trPr>
          <w:trHeight w:val="300"/>
        </w:trPr>
        <w:tc>
          <w:tcPr>
            <w:tcW w:w="3397" w:type="dxa"/>
            <w:noWrap/>
            <w:hideMark/>
          </w:tcPr>
          <w:p w14:paraId="5A7A2914"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AFP </w:t>
            </w:r>
            <w:proofErr w:type="spellStart"/>
            <w:r w:rsidRPr="006F7B76">
              <w:rPr>
                <w:rFonts w:ascii="Calibri" w:eastAsia="Times New Roman" w:hAnsi="Calibri" w:cs="Calibri"/>
                <w:color w:val="000000"/>
                <w:lang w:eastAsia="es-CL"/>
              </w:rPr>
              <w:t>Habitat</w:t>
            </w:r>
            <w:proofErr w:type="spellEnd"/>
          </w:p>
        </w:tc>
        <w:tc>
          <w:tcPr>
            <w:tcW w:w="2552" w:type="dxa"/>
            <w:noWrap/>
            <w:hideMark/>
          </w:tcPr>
          <w:p w14:paraId="1B86CAFF"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Raúl Muñoz</w:t>
            </w:r>
          </w:p>
        </w:tc>
      </w:tr>
      <w:tr w:rsidR="00F877FB" w:rsidRPr="006F7B76" w14:paraId="1CC31336" w14:textId="77777777" w:rsidTr="003A39B9">
        <w:trPr>
          <w:trHeight w:val="300"/>
        </w:trPr>
        <w:tc>
          <w:tcPr>
            <w:tcW w:w="3397" w:type="dxa"/>
            <w:noWrap/>
            <w:hideMark/>
          </w:tcPr>
          <w:p w14:paraId="616DE444"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AFP Modelo</w:t>
            </w:r>
          </w:p>
        </w:tc>
        <w:tc>
          <w:tcPr>
            <w:tcW w:w="2552" w:type="dxa"/>
            <w:noWrap/>
            <w:hideMark/>
          </w:tcPr>
          <w:p w14:paraId="4FDAED01" w14:textId="3201D9AB"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Andr</w:t>
            </w:r>
            <w:r>
              <w:rPr>
                <w:rFonts w:ascii="Calibri" w:eastAsia="Times New Roman" w:hAnsi="Calibri" w:cs="Calibri"/>
                <w:color w:val="000000"/>
                <w:lang w:eastAsia="es-CL"/>
              </w:rPr>
              <w:t>é</w:t>
            </w:r>
            <w:r w:rsidRPr="006F7B76">
              <w:rPr>
                <w:rFonts w:ascii="Calibri" w:eastAsia="Times New Roman" w:hAnsi="Calibri" w:cs="Calibri"/>
                <w:color w:val="000000"/>
                <w:lang w:eastAsia="es-CL"/>
              </w:rPr>
              <w:t xml:space="preserve">s </w:t>
            </w:r>
            <w:proofErr w:type="spellStart"/>
            <w:r w:rsidRPr="006F7B76">
              <w:rPr>
                <w:rFonts w:ascii="Calibri" w:eastAsia="Times New Roman" w:hAnsi="Calibri" w:cs="Calibri"/>
                <w:color w:val="000000"/>
                <w:lang w:eastAsia="es-CL"/>
              </w:rPr>
              <w:t>Flisfisch</w:t>
            </w:r>
            <w:proofErr w:type="spellEnd"/>
          </w:p>
        </w:tc>
      </w:tr>
      <w:tr w:rsidR="00F877FB" w:rsidRPr="006F7B76" w14:paraId="7FB04965" w14:textId="77777777" w:rsidTr="003A39B9">
        <w:trPr>
          <w:trHeight w:val="300"/>
        </w:trPr>
        <w:tc>
          <w:tcPr>
            <w:tcW w:w="3397" w:type="dxa"/>
            <w:noWrap/>
            <w:hideMark/>
          </w:tcPr>
          <w:p w14:paraId="02C4BBEA" w14:textId="77777777" w:rsidR="00F877FB" w:rsidRPr="00FE3975" w:rsidRDefault="00F877FB" w:rsidP="00D77681">
            <w:pPr>
              <w:jc w:val="both"/>
              <w:rPr>
                <w:rFonts w:ascii="Calibri" w:hAnsi="Calibri" w:cs="Calibri"/>
                <w:color w:val="000000"/>
              </w:rPr>
            </w:pPr>
            <w:r>
              <w:rPr>
                <w:rFonts w:ascii="Calibri" w:hAnsi="Calibri" w:cs="Calibri"/>
                <w:color w:val="000000"/>
              </w:rPr>
              <w:t>AFP Provida</w:t>
            </w:r>
          </w:p>
        </w:tc>
        <w:tc>
          <w:tcPr>
            <w:tcW w:w="2552" w:type="dxa"/>
            <w:noWrap/>
            <w:hideMark/>
          </w:tcPr>
          <w:p w14:paraId="5069A37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Cristóbal Torres</w:t>
            </w:r>
          </w:p>
        </w:tc>
      </w:tr>
      <w:tr w:rsidR="00F877FB" w:rsidRPr="006F7B76" w14:paraId="4F596E24" w14:textId="77777777" w:rsidTr="003A39B9">
        <w:trPr>
          <w:trHeight w:val="300"/>
        </w:trPr>
        <w:tc>
          <w:tcPr>
            <w:tcW w:w="3397" w:type="dxa"/>
            <w:noWrap/>
            <w:hideMark/>
          </w:tcPr>
          <w:p w14:paraId="28FC97A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AFP Provida</w:t>
            </w:r>
          </w:p>
        </w:tc>
        <w:tc>
          <w:tcPr>
            <w:tcW w:w="2552" w:type="dxa"/>
            <w:noWrap/>
            <w:hideMark/>
          </w:tcPr>
          <w:p w14:paraId="7D520A1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Jorge Urzúa</w:t>
            </w:r>
          </w:p>
        </w:tc>
      </w:tr>
      <w:tr w:rsidR="00F877FB" w:rsidRPr="006F7B76" w14:paraId="28555BD5" w14:textId="77777777" w:rsidTr="003A39B9">
        <w:trPr>
          <w:trHeight w:val="300"/>
        </w:trPr>
        <w:tc>
          <w:tcPr>
            <w:tcW w:w="3397" w:type="dxa"/>
            <w:noWrap/>
            <w:hideMark/>
          </w:tcPr>
          <w:p w14:paraId="34E3430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AGF Itaú</w:t>
            </w:r>
          </w:p>
        </w:tc>
        <w:tc>
          <w:tcPr>
            <w:tcW w:w="2552" w:type="dxa"/>
            <w:noWrap/>
            <w:hideMark/>
          </w:tcPr>
          <w:p w14:paraId="0D8E54BC"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Juan Pablo Araujo</w:t>
            </w:r>
          </w:p>
        </w:tc>
      </w:tr>
      <w:tr w:rsidR="00F877FB" w:rsidRPr="006F7B76" w14:paraId="7C63A90C" w14:textId="77777777" w:rsidTr="003A39B9">
        <w:trPr>
          <w:trHeight w:val="300"/>
        </w:trPr>
        <w:tc>
          <w:tcPr>
            <w:tcW w:w="3397" w:type="dxa"/>
            <w:noWrap/>
            <w:hideMark/>
          </w:tcPr>
          <w:p w14:paraId="6DB0C24F"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 xml:space="preserve">AGF </w:t>
            </w:r>
            <w:r w:rsidRPr="007B026E">
              <w:rPr>
                <w:rFonts w:ascii="Calibri" w:eastAsia="Times New Roman" w:hAnsi="Calibri" w:cs="Calibri"/>
                <w:color w:val="000000"/>
                <w:lang w:eastAsia="es-CL"/>
              </w:rPr>
              <w:t xml:space="preserve">Moneda </w:t>
            </w:r>
            <w:proofErr w:type="spellStart"/>
            <w:r w:rsidRPr="007B026E">
              <w:rPr>
                <w:rFonts w:ascii="Calibri" w:eastAsia="Times New Roman" w:hAnsi="Calibri" w:cs="Calibri"/>
                <w:color w:val="000000"/>
                <w:lang w:eastAsia="es-CL"/>
              </w:rPr>
              <w:t>Asset</w:t>
            </w:r>
            <w:proofErr w:type="spellEnd"/>
            <w:r w:rsidRPr="007B026E">
              <w:rPr>
                <w:rFonts w:ascii="Calibri" w:eastAsia="Times New Roman" w:hAnsi="Calibri" w:cs="Calibri"/>
                <w:color w:val="000000"/>
                <w:lang w:eastAsia="es-CL"/>
              </w:rPr>
              <w:t xml:space="preserve"> Management</w:t>
            </w:r>
          </w:p>
        </w:tc>
        <w:tc>
          <w:tcPr>
            <w:tcW w:w="2552" w:type="dxa"/>
            <w:noWrap/>
            <w:hideMark/>
          </w:tcPr>
          <w:p w14:paraId="311B38ED"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Ezequiel</w:t>
            </w:r>
            <w:r>
              <w:rPr>
                <w:rFonts w:ascii="Calibri" w:eastAsia="Times New Roman" w:hAnsi="Calibri" w:cs="Calibri"/>
                <w:color w:val="000000"/>
                <w:lang w:eastAsia="es-CL"/>
              </w:rPr>
              <w:t xml:space="preserve"> Camus</w:t>
            </w:r>
          </w:p>
        </w:tc>
      </w:tr>
      <w:tr w:rsidR="00F877FB" w:rsidRPr="006F7B76" w14:paraId="27D32628" w14:textId="77777777" w:rsidTr="003A39B9">
        <w:trPr>
          <w:trHeight w:val="300"/>
        </w:trPr>
        <w:tc>
          <w:tcPr>
            <w:tcW w:w="3397" w:type="dxa"/>
            <w:noWrap/>
            <w:hideMark/>
          </w:tcPr>
          <w:p w14:paraId="1659201B"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AGF Scotiabank</w:t>
            </w:r>
          </w:p>
        </w:tc>
        <w:tc>
          <w:tcPr>
            <w:tcW w:w="2552" w:type="dxa"/>
            <w:noWrap/>
            <w:hideMark/>
          </w:tcPr>
          <w:p w14:paraId="74317144"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Larry Vidal</w:t>
            </w:r>
          </w:p>
        </w:tc>
      </w:tr>
      <w:tr w:rsidR="00F877FB" w:rsidRPr="006F7B76" w14:paraId="52F034A3" w14:textId="77777777" w:rsidTr="003A39B9">
        <w:trPr>
          <w:trHeight w:val="300"/>
        </w:trPr>
        <w:tc>
          <w:tcPr>
            <w:tcW w:w="3397" w:type="dxa"/>
            <w:noWrap/>
            <w:hideMark/>
          </w:tcPr>
          <w:p w14:paraId="6A6B8819"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AGF Security</w:t>
            </w:r>
          </w:p>
        </w:tc>
        <w:tc>
          <w:tcPr>
            <w:tcW w:w="2552" w:type="dxa"/>
            <w:noWrap/>
            <w:hideMark/>
          </w:tcPr>
          <w:p w14:paraId="3A51106F"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Juan Pablo Lira</w:t>
            </w:r>
          </w:p>
        </w:tc>
      </w:tr>
      <w:tr w:rsidR="00F877FB" w:rsidRPr="006F7B76" w14:paraId="636328C0" w14:textId="77777777" w:rsidTr="003A39B9">
        <w:trPr>
          <w:trHeight w:val="300"/>
        </w:trPr>
        <w:tc>
          <w:tcPr>
            <w:tcW w:w="3397" w:type="dxa"/>
            <w:noWrap/>
            <w:hideMark/>
          </w:tcPr>
          <w:p w14:paraId="64202189"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BCI</w:t>
            </w:r>
          </w:p>
        </w:tc>
        <w:tc>
          <w:tcPr>
            <w:tcW w:w="2552" w:type="dxa"/>
            <w:noWrap/>
            <w:hideMark/>
          </w:tcPr>
          <w:p w14:paraId="3FB37A2F"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Alexis Vega</w:t>
            </w:r>
          </w:p>
        </w:tc>
      </w:tr>
      <w:tr w:rsidR="00F877FB" w:rsidRPr="006F7B76" w14:paraId="158AE7DA" w14:textId="77777777" w:rsidTr="003A39B9">
        <w:trPr>
          <w:trHeight w:val="300"/>
        </w:trPr>
        <w:tc>
          <w:tcPr>
            <w:tcW w:w="3397" w:type="dxa"/>
            <w:noWrap/>
            <w:hideMark/>
          </w:tcPr>
          <w:p w14:paraId="6E1F391F"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BCI</w:t>
            </w:r>
          </w:p>
        </w:tc>
        <w:tc>
          <w:tcPr>
            <w:tcW w:w="2552" w:type="dxa"/>
            <w:noWrap/>
            <w:hideMark/>
          </w:tcPr>
          <w:p w14:paraId="3EDF3F44" w14:textId="2CF42F12"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Francisco Fern</w:t>
            </w:r>
            <w:r>
              <w:rPr>
                <w:rFonts w:ascii="Calibri" w:eastAsia="Times New Roman" w:hAnsi="Calibri" w:cs="Calibri"/>
                <w:color w:val="000000"/>
                <w:lang w:eastAsia="es-CL"/>
              </w:rPr>
              <w:t>á</w:t>
            </w:r>
            <w:r w:rsidRPr="006F7B76">
              <w:rPr>
                <w:rFonts w:ascii="Calibri" w:eastAsia="Times New Roman" w:hAnsi="Calibri" w:cs="Calibri"/>
                <w:color w:val="000000"/>
                <w:lang w:eastAsia="es-CL"/>
              </w:rPr>
              <w:t>ndez</w:t>
            </w:r>
          </w:p>
        </w:tc>
      </w:tr>
      <w:tr w:rsidR="00F877FB" w:rsidRPr="006F7B76" w14:paraId="1E61A7E8" w14:textId="77777777" w:rsidTr="003A39B9">
        <w:trPr>
          <w:trHeight w:val="300"/>
        </w:trPr>
        <w:tc>
          <w:tcPr>
            <w:tcW w:w="3397" w:type="dxa"/>
            <w:noWrap/>
            <w:hideMark/>
          </w:tcPr>
          <w:p w14:paraId="0CED4900"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BCI</w:t>
            </w:r>
          </w:p>
        </w:tc>
        <w:tc>
          <w:tcPr>
            <w:tcW w:w="2552" w:type="dxa"/>
            <w:noWrap/>
            <w:hideMark/>
          </w:tcPr>
          <w:p w14:paraId="06163E5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Juan Pablo Risco</w:t>
            </w:r>
          </w:p>
        </w:tc>
      </w:tr>
      <w:tr w:rsidR="00F877FB" w:rsidRPr="006F7B76" w14:paraId="4A731F15" w14:textId="77777777" w:rsidTr="003A39B9">
        <w:trPr>
          <w:trHeight w:val="300"/>
        </w:trPr>
        <w:tc>
          <w:tcPr>
            <w:tcW w:w="3397" w:type="dxa"/>
            <w:noWrap/>
            <w:hideMark/>
          </w:tcPr>
          <w:p w14:paraId="23733A23"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168A15CD"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Andrea Cayumil</w:t>
            </w:r>
          </w:p>
        </w:tc>
      </w:tr>
      <w:tr w:rsidR="00F877FB" w:rsidRPr="006F7B76" w14:paraId="5AF7256A" w14:textId="77777777" w:rsidTr="003A39B9">
        <w:trPr>
          <w:trHeight w:val="300"/>
        </w:trPr>
        <w:tc>
          <w:tcPr>
            <w:tcW w:w="3397" w:type="dxa"/>
            <w:noWrap/>
            <w:hideMark/>
          </w:tcPr>
          <w:p w14:paraId="3D7C38A7"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61963835" w14:textId="36A7E2F0"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Andres S</w:t>
            </w:r>
            <w:r>
              <w:rPr>
                <w:rFonts w:ascii="Calibri" w:eastAsia="Times New Roman" w:hAnsi="Calibri" w:cs="Calibri"/>
                <w:color w:val="000000"/>
                <w:lang w:eastAsia="es-CL"/>
              </w:rPr>
              <w:t>ö</w:t>
            </w:r>
            <w:r w:rsidRPr="006F7B76">
              <w:rPr>
                <w:rFonts w:ascii="Calibri" w:eastAsia="Times New Roman" w:hAnsi="Calibri" w:cs="Calibri"/>
                <w:color w:val="000000"/>
                <w:lang w:eastAsia="es-CL"/>
              </w:rPr>
              <w:t>chting</w:t>
            </w:r>
          </w:p>
        </w:tc>
      </w:tr>
      <w:tr w:rsidR="00F877FB" w:rsidRPr="006F7B76" w14:paraId="2371615B" w14:textId="77777777" w:rsidTr="003A39B9">
        <w:trPr>
          <w:trHeight w:val="300"/>
        </w:trPr>
        <w:tc>
          <w:tcPr>
            <w:tcW w:w="3397" w:type="dxa"/>
            <w:noWrap/>
            <w:hideMark/>
          </w:tcPr>
          <w:p w14:paraId="56633D61"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3836A554"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Beltrán De Ramón</w:t>
            </w:r>
          </w:p>
        </w:tc>
      </w:tr>
      <w:tr w:rsidR="00F877FB" w:rsidRPr="006F7B76" w14:paraId="1D743A61" w14:textId="77777777" w:rsidTr="003A39B9">
        <w:trPr>
          <w:trHeight w:val="300"/>
        </w:trPr>
        <w:tc>
          <w:tcPr>
            <w:tcW w:w="3397" w:type="dxa"/>
            <w:noWrap/>
            <w:hideMark/>
          </w:tcPr>
          <w:p w14:paraId="4FB0B1BB" w14:textId="77777777" w:rsidR="00F877FB" w:rsidRPr="006F7B76" w:rsidRDefault="00F877FB" w:rsidP="00D77681">
            <w:pPr>
              <w:jc w:val="both"/>
              <w:rPr>
                <w:rFonts w:ascii="Calibri" w:eastAsia="Times New Roman" w:hAnsi="Calibri" w:cs="Calibri"/>
                <w:color w:val="000000"/>
                <w:lang w:eastAsia="es-CL"/>
              </w:rPr>
            </w:pPr>
            <w:r w:rsidRPr="00FE3975">
              <w:rPr>
                <w:rFonts w:ascii="Calibri" w:eastAsia="Times New Roman" w:hAnsi="Calibri" w:cs="Calibri"/>
                <w:color w:val="000000"/>
                <w:lang w:eastAsia="es-CL"/>
              </w:rPr>
              <w:t>Banco Central de Chile</w:t>
            </w:r>
          </w:p>
        </w:tc>
        <w:tc>
          <w:tcPr>
            <w:tcW w:w="2552" w:type="dxa"/>
            <w:noWrap/>
            <w:hideMark/>
          </w:tcPr>
          <w:p w14:paraId="489F2C5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Catalina Estefó</w:t>
            </w:r>
          </w:p>
        </w:tc>
      </w:tr>
      <w:tr w:rsidR="00F877FB" w:rsidRPr="006F7B76" w14:paraId="59467A22" w14:textId="77777777" w:rsidTr="003A39B9">
        <w:trPr>
          <w:trHeight w:val="300"/>
        </w:trPr>
        <w:tc>
          <w:tcPr>
            <w:tcW w:w="3397" w:type="dxa"/>
            <w:noWrap/>
            <w:hideMark/>
          </w:tcPr>
          <w:p w14:paraId="0EF066FE"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37ABEA40" w14:textId="5C0BF2A0"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Cristian Santa</w:t>
            </w:r>
            <w:r>
              <w:rPr>
                <w:rFonts w:ascii="Calibri" w:eastAsia="Times New Roman" w:hAnsi="Calibri" w:cs="Calibri"/>
                <w:color w:val="000000"/>
                <w:lang w:eastAsia="es-CL"/>
              </w:rPr>
              <w:t xml:space="preserve"> </w:t>
            </w:r>
            <w:r w:rsidRPr="006F7B76">
              <w:rPr>
                <w:rFonts w:ascii="Calibri" w:eastAsia="Times New Roman" w:hAnsi="Calibri" w:cs="Calibri"/>
                <w:color w:val="000000"/>
                <w:lang w:eastAsia="es-CL"/>
              </w:rPr>
              <w:t>Cruz</w:t>
            </w:r>
          </w:p>
        </w:tc>
      </w:tr>
      <w:tr w:rsidR="00F877FB" w:rsidRPr="006F7B76" w14:paraId="4471E62F" w14:textId="77777777" w:rsidTr="003A39B9">
        <w:trPr>
          <w:trHeight w:val="300"/>
        </w:trPr>
        <w:tc>
          <w:tcPr>
            <w:tcW w:w="3397" w:type="dxa"/>
            <w:noWrap/>
            <w:hideMark/>
          </w:tcPr>
          <w:p w14:paraId="7FC83EDE"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4020C6A8"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Diego Gianelli</w:t>
            </w:r>
          </w:p>
        </w:tc>
      </w:tr>
      <w:tr w:rsidR="00F877FB" w:rsidRPr="006F7B76" w14:paraId="7514D436" w14:textId="77777777" w:rsidTr="003A39B9">
        <w:trPr>
          <w:trHeight w:val="300"/>
        </w:trPr>
        <w:tc>
          <w:tcPr>
            <w:tcW w:w="3397" w:type="dxa"/>
            <w:noWrap/>
            <w:hideMark/>
          </w:tcPr>
          <w:p w14:paraId="60987A08"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548E6065"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Felipe Musa</w:t>
            </w:r>
          </w:p>
        </w:tc>
      </w:tr>
      <w:tr w:rsidR="00F877FB" w:rsidRPr="006F7B76" w14:paraId="21E3E39F" w14:textId="77777777" w:rsidTr="003A39B9">
        <w:trPr>
          <w:trHeight w:val="300"/>
        </w:trPr>
        <w:tc>
          <w:tcPr>
            <w:tcW w:w="3397" w:type="dxa"/>
            <w:noWrap/>
            <w:hideMark/>
          </w:tcPr>
          <w:p w14:paraId="3B1E0D6F"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0AF631DF"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Isidora Barros</w:t>
            </w:r>
          </w:p>
        </w:tc>
      </w:tr>
      <w:tr w:rsidR="00F877FB" w:rsidRPr="006F7B76" w14:paraId="295497C1" w14:textId="77777777" w:rsidTr="003A39B9">
        <w:trPr>
          <w:trHeight w:val="300"/>
        </w:trPr>
        <w:tc>
          <w:tcPr>
            <w:tcW w:w="3397" w:type="dxa"/>
            <w:noWrap/>
            <w:hideMark/>
          </w:tcPr>
          <w:p w14:paraId="3EA019A9"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1F054C80"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Jaime Troncoso</w:t>
            </w:r>
          </w:p>
        </w:tc>
      </w:tr>
      <w:tr w:rsidR="00F877FB" w:rsidRPr="006F7B76" w14:paraId="22D8C73D" w14:textId="77777777" w:rsidTr="003A39B9">
        <w:trPr>
          <w:trHeight w:val="300"/>
        </w:trPr>
        <w:tc>
          <w:tcPr>
            <w:tcW w:w="3397" w:type="dxa"/>
            <w:noWrap/>
            <w:hideMark/>
          </w:tcPr>
          <w:p w14:paraId="2D4E8501"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3851528D"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Leonardo Avendaño</w:t>
            </w:r>
          </w:p>
        </w:tc>
      </w:tr>
      <w:tr w:rsidR="00F877FB" w:rsidRPr="006F7B76" w14:paraId="6A32AAF1" w14:textId="77777777" w:rsidTr="003A39B9">
        <w:trPr>
          <w:trHeight w:val="300"/>
        </w:trPr>
        <w:tc>
          <w:tcPr>
            <w:tcW w:w="3397" w:type="dxa"/>
            <w:noWrap/>
            <w:hideMark/>
          </w:tcPr>
          <w:p w14:paraId="716024BB" w14:textId="77777777" w:rsidR="00F877FB" w:rsidRPr="006F7B76" w:rsidRDefault="00F877FB" w:rsidP="00D77681">
            <w:pPr>
              <w:jc w:val="both"/>
              <w:rPr>
                <w:rFonts w:ascii="Calibri" w:eastAsia="Times New Roman" w:hAnsi="Calibri" w:cs="Calibri"/>
                <w:color w:val="000000"/>
                <w:lang w:eastAsia="es-CL"/>
              </w:rPr>
            </w:pPr>
            <w:r w:rsidRPr="009122F6">
              <w:rPr>
                <w:rFonts w:ascii="Calibri" w:eastAsia="Times New Roman" w:hAnsi="Calibri" w:cs="Calibri"/>
                <w:color w:val="000000"/>
                <w:lang w:eastAsia="es-CL"/>
              </w:rPr>
              <w:t>Banco Central de Chile</w:t>
            </w:r>
          </w:p>
        </w:tc>
        <w:tc>
          <w:tcPr>
            <w:tcW w:w="2552" w:type="dxa"/>
            <w:noWrap/>
            <w:hideMark/>
          </w:tcPr>
          <w:p w14:paraId="106E1545"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Rodrigo Lozano</w:t>
            </w:r>
          </w:p>
        </w:tc>
      </w:tr>
      <w:tr w:rsidR="00F877FB" w:rsidRPr="006F7B76" w14:paraId="4C5DABB1" w14:textId="77777777" w:rsidTr="003A39B9">
        <w:trPr>
          <w:trHeight w:val="300"/>
        </w:trPr>
        <w:tc>
          <w:tcPr>
            <w:tcW w:w="3397" w:type="dxa"/>
            <w:noWrap/>
            <w:hideMark/>
          </w:tcPr>
          <w:p w14:paraId="34D4C634" w14:textId="77777777" w:rsidR="00F877FB" w:rsidRPr="006F7B76" w:rsidRDefault="00F877FB" w:rsidP="00D77681">
            <w:pPr>
              <w:jc w:val="both"/>
              <w:rPr>
                <w:rFonts w:ascii="Calibri" w:eastAsia="Times New Roman" w:hAnsi="Calibri" w:cs="Calibri"/>
                <w:color w:val="000000"/>
                <w:lang w:eastAsia="es-CL"/>
              </w:rPr>
            </w:pPr>
            <w:r w:rsidRPr="00FE3975">
              <w:rPr>
                <w:rFonts w:ascii="Calibri" w:eastAsia="Times New Roman" w:hAnsi="Calibri" w:cs="Calibri"/>
                <w:color w:val="000000"/>
                <w:lang w:eastAsia="es-CL"/>
              </w:rPr>
              <w:t>Banco Consorcio</w:t>
            </w:r>
          </w:p>
        </w:tc>
        <w:tc>
          <w:tcPr>
            <w:tcW w:w="2552" w:type="dxa"/>
            <w:noWrap/>
            <w:hideMark/>
          </w:tcPr>
          <w:p w14:paraId="61C48CE2"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Dante Poblete </w:t>
            </w:r>
          </w:p>
        </w:tc>
      </w:tr>
      <w:tr w:rsidR="00F877FB" w:rsidRPr="006F7B76" w14:paraId="40B7B796" w14:textId="77777777" w:rsidTr="003A39B9">
        <w:trPr>
          <w:trHeight w:val="300"/>
        </w:trPr>
        <w:tc>
          <w:tcPr>
            <w:tcW w:w="3397" w:type="dxa"/>
            <w:noWrap/>
            <w:hideMark/>
          </w:tcPr>
          <w:p w14:paraId="40908D3A"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Consorcio</w:t>
            </w:r>
          </w:p>
        </w:tc>
        <w:tc>
          <w:tcPr>
            <w:tcW w:w="2552" w:type="dxa"/>
            <w:noWrap/>
            <w:hideMark/>
          </w:tcPr>
          <w:p w14:paraId="0486C17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Mara Forer</w:t>
            </w:r>
          </w:p>
        </w:tc>
      </w:tr>
      <w:tr w:rsidR="00F877FB" w:rsidRPr="006F7B76" w14:paraId="7A113BBE" w14:textId="77777777" w:rsidTr="003A39B9">
        <w:trPr>
          <w:trHeight w:val="300"/>
        </w:trPr>
        <w:tc>
          <w:tcPr>
            <w:tcW w:w="3397" w:type="dxa"/>
            <w:noWrap/>
            <w:hideMark/>
          </w:tcPr>
          <w:p w14:paraId="630ABD6C"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Banco Estado</w:t>
            </w:r>
          </w:p>
        </w:tc>
        <w:tc>
          <w:tcPr>
            <w:tcW w:w="2552" w:type="dxa"/>
            <w:noWrap/>
            <w:hideMark/>
          </w:tcPr>
          <w:p w14:paraId="2E11C076"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 xml:space="preserve">Flavio D’ </w:t>
            </w:r>
            <w:proofErr w:type="spellStart"/>
            <w:r w:rsidRPr="00F877FB">
              <w:rPr>
                <w:rFonts w:ascii="Calibri" w:eastAsia="Times New Roman" w:hAnsi="Calibri" w:cs="Calibri"/>
                <w:color w:val="000000"/>
                <w:lang w:eastAsia="es-CL"/>
              </w:rPr>
              <w:t>Angelo</w:t>
            </w:r>
            <w:proofErr w:type="spellEnd"/>
          </w:p>
        </w:tc>
      </w:tr>
      <w:tr w:rsidR="00F877FB" w:rsidRPr="006F7B76" w14:paraId="67F0BBED" w14:textId="77777777" w:rsidTr="003A39B9">
        <w:trPr>
          <w:trHeight w:val="300"/>
        </w:trPr>
        <w:tc>
          <w:tcPr>
            <w:tcW w:w="3397" w:type="dxa"/>
            <w:noWrap/>
            <w:hideMark/>
          </w:tcPr>
          <w:p w14:paraId="022DCFCE"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Banco Estado</w:t>
            </w:r>
          </w:p>
        </w:tc>
        <w:tc>
          <w:tcPr>
            <w:tcW w:w="2552" w:type="dxa"/>
            <w:noWrap/>
            <w:hideMark/>
          </w:tcPr>
          <w:p w14:paraId="3289B4FA"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Victor Gonzalez</w:t>
            </w:r>
          </w:p>
        </w:tc>
      </w:tr>
      <w:tr w:rsidR="00F877FB" w:rsidRPr="006F7B76" w14:paraId="3CAB2B01" w14:textId="77777777" w:rsidTr="003A39B9">
        <w:trPr>
          <w:trHeight w:val="300"/>
        </w:trPr>
        <w:tc>
          <w:tcPr>
            <w:tcW w:w="3397" w:type="dxa"/>
            <w:noWrap/>
            <w:hideMark/>
          </w:tcPr>
          <w:p w14:paraId="19667387"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Internacional</w:t>
            </w:r>
          </w:p>
        </w:tc>
        <w:tc>
          <w:tcPr>
            <w:tcW w:w="2552" w:type="dxa"/>
            <w:noWrap/>
            <w:hideMark/>
          </w:tcPr>
          <w:p w14:paraId="0A6AC24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J</w:t>
            </w:r>
            <w:r>
              <w:rPr>
                <w:rFonts w:ascii="Calibri" w:eastAsia="Times New Roman" w:hAnsi="Calibri" w:cs="Calibri"/>
                <w:color w:val="000000"/>
                <w:lang w:eastAsia="es-CL"/>
              </w:rPr>
              <w:t>avier</w:t>
            </w:r>
            <w:r w:rsidRPr="006F7B76">
              <w:rPr>
                <w:rFonts w:ascii="Calibri" w:eastAsia="Times New Roman" w:hAnsi="Calibri" w:cs="Calibri"/>
                <w:color w:val="000000"/>
                <w:lang w:eastAsia="es-CL"/>
              </w:rPr>
              <w:t xml:space="preserve"> Barnechea</w:t>
            </w:r>
          </w:p>
        </w:tc>
      </w:tr>
      <w:tr w:rsidR="00F877FB" w:rsidRPr="006F7B76" w14:paraId="626A0802" w14:textId="77777777" w:rsidTr="003A39B9">
        <w:trPr>
          <w:trHeight w:val="300"/>
        </w:trPr>
        <w:tc>
          <w:tcPr>
            <w:tcW w:w="3397" w:type="dxa"/>
            <w:noWrap/>
            <w:hideMark/>
          </w:tcPr>
          <w:p w14:paraId="0D9D94B7"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Itaú</w:t>
            </w:r>
          </w:p>
        </w:tc>
        <w:tc>
          <w:tcPr>
            <w:tcW w:w="2552" w:type="dxa"/>
            <w:noWrap/>
            <w:hideMark/>
          </w:tcPr>
          <w:p w14:paraId="715EF1AA"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Alejando </w:t>
            </w:r>
            <w:proofErr w:type="spellStart"/>
            <w:r w:rsidRPr="006F7B76">
              <w:rPr>
                <w:rFonts w:ascii="Calibri" w:eastAsia="Times New Roman" w:hAnsi="Calibri" w:cs="Calibri"/>
                <w:color w:val="000000"/>
                <w:lang w:eastAsia="es-CL"/>
              </w:rPr>
              <w:t>Teuber</w:t>
            </w:r>
            <w:proofErr w:type="spellEnd"/>
          </w:p>
        </w:tc>
      </w:tr>
      <w:tr w:rsidR="00F877FB" w:rsidRPr="006F7B76" w14:paraId="78E45B22" w14:textId="77777777" w:rsidTr="003A39B9">
        <w:trPr>
          <w:trHeight w:val="300"/>
        </w:trPr>
        <w:tc>
          <w:tcPr>
            <w:tcW w:w="3397" w:type="dxa"/>
            <w:noWrap/>
            <w:hideMark/>
          </w:tcPr>
          <w:p w14:paraId="18C21B4E"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Itaú</w:t>
            </w:r>
          </w:p>
        </w:tc>
        <w:tc>
          <w:tcPr>
            <w:tcW w:w="2552" w:type="dxa"/>
            <w:noWrap/>
            <w:hideMark/>
          </w:tcPr>
          <w:p w14:paraId="699E4C5C" w14:textId="5EBF02E5"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José Miguel </w:t>
            </w:r>
            <w:r>
              <w:rPr>
                <w:rFonts w:ascii="Calibri" w:eastAsia="Times New Roman" w:hAnsi="Calibri" w:cs="Calibri"/>
                <w:color w:val="000000"/>
                <w:lang w:eastAsia="es-CL"/>
              </w:rPr>
              <w:t>Á</w:t>
            </w:r>
            <w:r w:rsidRPr="006F7B76">
              <w:rPr>
                <w:rFonts w:ascii="Calibri" w:eastAsia="Times New Roman" w:hAnsi="Calibri" w:cs="Calibri"/>
                <w:color w:val="000000"/>
                <w:lang w:eastAsia="es-CL"/>
              </w:rPr>
              <w:t>lvarez</w:t>
            </w:r>
          </w:p>
        </w:tc>
      </w:tr>
      <w:tr w:rsidR="00F877FB" w:rsidRPr="006F7B76" w14:paraId="17321B28" w14:textId="77777777" w:rsidTr="003A39B9">
        <w:trPr>
          <w:trHeight w:val="300"/>
        </w:trPr>
        <w:tc>
          <w:tcPr>
            <w:tcW w:w="3397" w:type="dxa"/>
            <w:noWrap/>
            <w:hideMark/>
          </w:tcPr>
          <w:p w14:paraId="6B890EE6"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Banco JP Morgan</w:t>
            </w:r>
          </w:p>
        </w:tc>
        <w:tc>
          <w:tcPr>
            <w:tcW w:w="2552" w:type="dxa"/>
            <w:noWrap/>
            <w:hideMark/>
          </w:tcPr>
          <w:p w14:paraId="040D8EF6" w14:textId="661B8680"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Nicol</w:t>
            </w:r>
            <w:r>
              <w:rPr>
                <w:rFonts w:ascii="Calibri" w:eastAsia="Times New Roman" w:hAnsi="Calibri" w:cs="Calibri"/>
                <w:color w:val="000000"/>
                <w:lang w:eastAsia="es-CL"/>
              </w:rPr>
              <w:t>á</w:t>
            </w:r>
            <w:r w:rsidRPr="006F7B76">
              <w:rPr>
                <w:rFonts w:ascii="Calibri" w:eastAsia="Times New Roman" w:hAnsi="Calibri" w:cs="Calibri"/>
                <w:color w:val="000000"/>
                <w:lang w:eastAsia="es-CL"/>
              </w:rPr>
              <w:t>s Valderrama</w:t>
            </w:r>
          </w:p>
        </w:tc>
      </w:tr>
      <w:tr w:rsidR="00F877FB" w:rsidRPr="006F7B76" w14:paraId="1A07DE44" w14:textId="77777777" w:rsidTr="003A39B9">
        <w:trPr>
          <w:trHeight w:val="300"/>
        </w:trPr>
        <w:tc>
          <w:tcPr>
            <w:tcW w:w="3397" w:type="dxa"/>
            <w:noWrap/>
            <w:hideMark/>
          </w:tcPr>
          <w:p w14:paraId="78489250"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Banco Santander</w:t>
            </w:r>
          </w:p>
        </w:tc>
        <w:tc>
          <w:tcPr>
            <w:tcW w:w="2552" w:type="dxa"/>
            <w:noWrap/>
            <w:hideMark/>
          </w:tcPr>
          <w:p w14:paraId="1321FD87"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Rodolfo Risco</w:t>
            </w:r>
          </w:p>
        </w:tc>
      </w:tr>
      <w:tr w:rsidR="00F877FB" w:rsidRPr="006F7B76" w14:paraId="00278B73" w14:textId="77777777" w:rsidTr="003A39B9">
        <w:trPr>
          <w:trHeight w:val="300"/>
        </w:trPr>
        <w:tc>
          <w:tcPr>
            <w:tcW w:w="3397" w:type="dxa"/>
            <w:noWrap/>
            <w:hideMark/>
          </w:tcPr>
          <w:p w14:paraId="3AE68F59"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Banco Scotiabank</w:t>
            </w:r>
          </w:p>
        </w:tc>
        <w:tc>
          <w:tcPr>
            <w:tcW w:w="2552" w:type="dxa"/>
            <w:noWrap/>
            <w:hideMark/>
          </w:tcPr>
          <w:p w14:paraId="3A162F76"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Aitor Aldunate</w:t>
            </w:r>
          </w:p>
        </w:tc>
      </w:tr>
      <w:tr w:rsidR="00F877FB" w:rsidRPr="006F7B76" w14:paraId="4F17C083" w14:textId="77777777" w:rsidTr="003A39B9">
        <w:trPr>
          <w:trHeight w:val="300"/>
        </w:trPr>
        <w:tc>
          <w:tcPr>
            <w:tcW w:w="3397" w:type="dxa"/>
            <w:noWrap/>
            <w:hideMark/>
          </w:tcPr>
          <w:p w14:paraId="081D7C7E"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Banco Scotiabank</w:t>
            </w:r>
          </w:p>
        </w:tc>
        <w:tc>
          <w:tcPr>
            <w:tcW w:w="2552" w:type="dxa"/>
            <w:noWrap/>
            <w:hideMark/>
          </w:tcPr>
          <w:p w14:paraId="6E3DACB6"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Álvaro Ramirez</w:t>
            </w:r>
          </w:p>
        </w:tc>
      </w:tr>
      <w:tr w:rsidR="00F877FB" w:rsidRPr="006F7B76" w14:paraId="18650A7F" w14:textId="77777777" w:rsidTr="003A39B9">
        <w:trPr>
          <w:trHeight w:val="300"/>
        </w:trPr>
        <w:tc>
          <w:tcPr>
            <w:tcW w:w="3397" w:type="dxa"/>
            <w:noWrap/>
            <w:hideMark/>
          </w:tcPr>
          <w:p w14:paraId="5D413CA0" w14:textId="77777777" w:rsidR="00F877FB" w:rsidRPr="006F7B76" w:rsidRDefault="00F877FB" w:rsidP="00D77681">
            <w:pPr>
              <w:jc w:val="both"/>
              <w:rPr>
                <w:rFonts w:ascii="Calibri" w:eastAsia="Times New Roman" w:hAnsi="Calibri" w:cs="Calibri"/>
                <w:color w:val="000000"/>
                <w:lang w:eastAsia="es-CL"/>
              </w:rPr>
            </w:pPr>
            <w:r w:rsidRPr="00FE3975">
              <w:rPr>
                <w:rFonts w:ascii="Calibri" w:eastAsia="Times New Roman" w:hAnsi="Calibri" w:cs="Calibri"/>
                <w:color w:val="000000"/>
                <w:lang w:eastAsia="es-CL"/>
              </w:rPr>
              <w:lastRenderedPageBreak/>
              <w:t>Banco Scotiabank</w:t>
            </w:r>
          </w:p>
        </w:tc>
        <w:tc>
          <w:tcPr>
            <w:tcW w:w="2552" w:type="dxa"/>
            <w:noWrap/>
            <w:hideMark/>
          </w:tcPr>
          <w:p w14:paraId="2ABFBA9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David Díaz </w:t>
            </w:r>
          </w:p>
        </w:tc>
      </w:tr>
      <w:tr w:rsidR="00F877FB" w:rsidRPr="006F7B76" w14:paraId="738CF06A" w14:textId="77777777" w:rsidTr="003A39B9">
        <w:trPr>
          <w:trHeight w:val="300"/>
        </w:trPr>
        <w:tc>
          <w:tcPr>
            <w:tcW w:w="3397" w:type="dxa"/>
            <w:noWrap/>
            <w:hideMark/>
          </w:tcPr>
          <w:p w14:paraId="775057FD" w14:textId="77777777" w:rsidR="00F877FB" w:rsidRPr="006F7B76" w:rsidRDefault="00F877FB" w:rsidP="00D77681">
            <w:pPr>
              <w:jc w:val="both"/>
              <w:rPr>
                <w:rFonts w:ascii="Calibri" w:eastAsia="Times New Roman" w:hAnsi="Calibri" w:cs="Calibri"/>
                <w:color w:val="000000"/>
                <w:lang w:eastAsia="es-CL"/>
              </w:rPr>
            </w:pPr>
            <w:r w:rsidRPr="007B026E">
              <w:rPr>
                <w:rFonts w:ascii="Calibri" w:eastAsia="Times New Roman" w:hAnsi="Calibri" w:cs="Calibri"/>
                <w:color w:val="000000"/>
                <w:lang w:eastAsia="es-CL"/>
              </w:rPr>
              <w:t>Banco Scotiabank</w:t>
            </w:r>
          </w:p>
        </w:tc>
        <w:tc>
          <w:tcPr>
            <w:tcW w:w="2552" w:type="dxa"/>
            <w:noWrap/>
            <w:hideMark/>
          </w:tcPr>
          <w:p w14:paraId="604C8B68"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S</w:t>
            </w:r>
            <w:r>
              <w:rPr>
                <w:rFonts w:ascii="Calibri" w:eastAsia="Times New Roman" w:hAnsi="Calibri" w:cs="Calibri"/>
                <w:color w:val="000000"/>
                <w:lang w:eastAsia="es-CL"/>
              </w:rPr>
              <w:t>teven</w:t>
            </w:r>
            <w:r w:rsidRPr="006F7B76">
              <w:rPr>
                <w:rFonts w:ascii="Calibri" w:eastAsia="Times New Roman" w:hAnsi="Calibri" w:cs="Calibri"/>
                <w:color w:val="000000"/>
                <w:lang w:eastAsia="es-CL"/>
              </w:rPr>
              <w:t xml:space="preserve"> Taylor</w:t>
            </w:r>
          </w:p>
        </w:tc>
      </w:tr>
      <w:tr w:rsidR="00F877FB" w:rsidRPr="006F7B76" w14:paraId="22946151" w14:textId="77777777" w:rsidTr="003A39B9">
        <w:trPr>
          <w:trHeight w:val="300"/>
        </w:trPr>
        <w:tc>
          <w:tcPr>
            <w:tcW w:w="3397" w:type="dxa"/>
            <w:noWrap/>
            <w:hideMark/>
          </w:tcPr>
          <w:p w14:paraId="00F01855"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Banco Security</w:t>
            </w:r>
          </w:p>
        </w:tc>
        <w:tc>
          <w:tcPr>
            <w:tcW w:w="2552" w:type="dxa"/>
            <w:noWrap/>
            <w:hideMark/>
          </w:tcPr>
          <w:p w14:paraId="15E2383E"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Sergio Bonilla</w:t>
            </w:r>
          </w:p>
        </w:tc>
      </w:tr>
      <w:tr w:rsidR="00F877FB" w:rsidRPr="006F7B76" w14:paraId="597EB66F" w14:textId="77777777" w:rsidTr="003A39B9">
        <w:trPr>
          <w:trHeight w:val="300"/>
        </w:trPr>
        <w:tc>
          <w:tcPr>
            <w:tcW w:w="3397" w:type="dxa"/>
            <w:noWrap/>
            <w:hideMark/>
          </w:tcPr>
          <w:p w14:paraId="316627A5"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Cooperativa Coopera</w:t>
            </w:r>
          </w:p>
        </w:tc>
        <w:tc>
          <w:tcPr>
            <w:tcW w:w="2552" w:type="dxa"/>
            <w:noWrap/>
            <w:hideMark/>
          </w:tcPr>
          <w:p w14:paraId="370BC48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Pedro Lagos</w:t>
            </w:r>
          </w:p>
        </w:tc>
      </w:tr>
      <w:tr w:rsidR="00F877FB" w:rsidRPr="006F7B76" w14:paraId="79E118B9" w14:textId="77777777" w:rsidTr="003A39B9">
        <w:trPr>
          <w:trHeight w:val="300"/>
        </w:trPr>
        <w:tc>
          <w:tcPr>
            <w:tcW w:w="3397" w:type="dxa"/>
            <w:noWrap/>
            <w:hideMark/>
          </w:tcPr>
          <w:p w14:paraId="6D29A493" w14:textId="71F140D5"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Cooperativa Co</w:t>
            </w:r>
            <w:r>
              <w:rPr>
                <w:rFonts w:ascii="Calibri" w:eastAsia="Times New Roman" w:hAnsi="Calibri" w:cs="Calibri"/>
                <w:color w:val="000000"/>
                <w:lang w:eastAsia="es-CL"/>
              </w:rPr>
              <w:t>o</w:t>
            </w:r>
            <w:r w:rsidRPr="006F7B76">
              <w:rPr>
                <w:rFonts w:ascii="Calibri" w:eastAsia="Times New Roman" w:hAnsi="Calibri" w:cs="Calibri"/>
                <w:color w:val="000000"/>
                <w:lang w:eastAsia="es-CL"/>
              </w:rPr>
              <w:t>peuch</w:t>
            </w:r>
          </w:p>
        </w:tc>
        <w:tc>
          <w:tcPr>
            <w:tcW w:w="2552" w:type="dxa"/>
            <w:noWrap/>
            <w:hideMark/>
          </w:tcPr>
          <w:p w14:paraId="719B9CF3" w14:textId="73CEB53E"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Pedro Mur</w:t>
            </w:r>
            <w:r>
              <w:rPr>
                <w:rFonts w:ascii="Calibri" w:eastAsia="Times New Roman" w:hAnsi="Calibri" w:cs="Calibri"/>
                <w:color w:val="000000"/>
                <w:lang w:eastAsia="es-CL"/>
              </w:rPr>
              <w:t>ú</w:t>
            </w:r>
            <w:r w:rsidRPr="006F7B76">
              <w:rPr>
                <w:rFonts w:ascii="Calibri" w:eastAsia="Times New Roman" w:hAnsi="Calibri" w:cs="Calibri"/>
                <w:color w:val="000000"/>
                <w:lang w:eastAsia="es-CL"/>
              </w:rPr>
              <w:t>a</w:t>
            </w:r>
          </w:p>
        </w:tc>
      </w:tr>
      <w:tr w:rsidR="00F877FB" w:rsidRPr="006F7B76" w14:paraId="2DBE73D9" w14:textId="77777777" w:rsidTr="003A39B9">
        <w:trPr>
          <w:trHeight w:val="300"/>
        </w:trPr>
        <w:tc>
          <w:tcPr>
            <w:tcW w:w="3397" w:type="dxa"/>
            <w:noWrap/>
            <w:hideMark/>
          </w:tcPr>
          <w:p w14:paraId="4B7E7A8D"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 xml:space="preserve">CSV </w:t>
            </w:r>
            <w:r w:rsidRPr="00FE3975">
              <w:rPr>
                <w:rFonts w:ascii="Calibri" w:eastAsia="Times New Roman" w:hAnsi="Calibri" w:cs="Calibri"/>
                <w:color w:val="000000"/>
                <w:lang w:eastAsia="es-CL"/>
              </w:rPr>
              <w:t xml:space="preserve">4 </w:t>
            </w:r>
            <w:proofErr w:type="spellStart"/>
            <w:r w:rsidRPr="00FE3975">
              <w:rPr>
                <w:rFonts w:ascii="Calibri" w:eastAsia="Times New Roman" w:hAnsi="Calibri" w:cs="Calibri"/>
                <w:color w:val="000000"/>
                <w:lang w:eastAsia="es-CL"/>
              </w:rPr>
              <w:t>Life</w:t>
            </w:r>
            <w:proofErr w:type="spellEnd"/>
            <w:r w:rsidRPr="00FE3975">
              <w:rPr>
                <w:rFonts w:ascii="Calibri" w:eastAsia="Times New Roman" w:hAnsi="Calibri" w:cs="Calibri"/>
                <w:color w:val="000000"/>
                <w:lang w:eastAsia="es-CL"/>
              </w:rPr>
              <w:t xml:space="preserve"> Seguros</w:t>
            </w:r>
          </w:p>
        </w:tc>
        <w:tc>
          <w:tcPr>
            <w:tcW w:w="2552" w:type="dxa"/>
            <w:noWrap/>
            <w:hideMark/>
          </w:tcPr>
          <w:p w14:paraId="4E304B1D"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Albert</w:t>
            </w:r>
            <w:r>
              <w:rPr>
                <w:rFonts w:ascii="Calibri" w:eastAsia="Times New Roman" w:hAnsi="Calibri" w:cs="Calibri"/>
                <w:color w:val="000000"/>
                <w:lang w:eastAsia="es-CL"/>
              </w:rPr>
              <w:t xml:space="preserve"> Kwon</w:t>
            </w:r>
          </w:p>
        </w:tc>
      </w:tr>
      <w:tr w:rsidR="00F877FB" w:rsidRPr="006F7B76" w14:paraId="626EC951" w14:textId="77777777" w:rsidTr="003A39B9">
        <w:trPr>
          <w:trHeight w:val="300"/>
        </w:trPr>
        <w:tc>
          <w:tcPr>
            <w:tcW w:w="3397" w:type="dxa"/>
            <w:noWrap/>
            <w:hideMark/>
          </w:tcPr>
          <w:p w14:paraId="7E6F1D47" w14:textId="77777777" w:rsidR="00F877FB" w:rsidRPr="00F877FB"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 xml:space="preserve">CSV </w:t>
            </w:r>
            <w:r w:rsidRPr="00FE3975">
              <w:rPr>
                <w:rFonts w:ascii="Calibri" w:eastAsia="Times New Roman" w:hAnsi="Calibri" w:cs="Calibri"/>
                <w:color w:val="000000"/>
                <w:lang w:eastAsia="es-CL"/>
              </w:rPr>
              <w:t xml:space="preserve">4 </w:t>
            </w:r>
            <w:proofErr w:type="spellStart"/>
            <w:r w:rsidRPr="00FE3975">
              <w:rPr>
                <w:rFonts w:ascii="Calibri" w:eastAsia="Times New Roman" w:hAnsi="Calibri" w:cs="Calibri"/>
                <w:color w:val="000000"/>
                <w:lang w:eastAsia="es-CL"/>
              </w:rPr>
              <w:t>Life</w:t>
            </w:r>
            <w:proofErr w:type="spellEnd"/>
            <w:r w:rsidRPr="00FE3975">
              <w:rPr>
                <w:rFonts w:ascii="Calibri" w:eastAsia="Times New Roman" w:hAnsi="Calibri" w:cs="Calibri"/>
                <w:color w:val="000000"/>
                <w:lang w:eastAsia="es-CL"/>
              </w:rPr>
              <w:t xml:space="preserve"> Seguros</w:t>
            </w:r>
          </w:p>
        </w:tc>
        <w:tc>
          <w:tcPr>
            <w:tcW w:w="2552" w:type="dxa"/>
            <w:noWrap/>
            <w:hideMark/>
          </w:tcPr>
          <w:p w14:paraId="07C317A5" w14:textId="77777777" w:rsidR="00F877FB" w:rsidRPr="00F877FB" w:rsidRDefault="00F877FB" w:rsidP="00D77681">
            <w:pPr>
              <w:jc w:val="both"/>
              <w:rPr>
                <w:rFonts w:ascii="Calibri" w:eastAsia="Times New Roman" w:hAnsi="Calibri" w:cs="Calibri"/>
                <w:color w:val="000000"/>
                <w:lang w:eastAsia="es-CL"/>
              </w:rPr>
            </w:pPr>
            <w:r w:rsidRPr="00F877FB">
              <w:rPr>
                <w:rFonts w:ascii="Calibri" w:eastAsia="Times New Roman" w:hAnsi="Calibri" w:cs="Calibri"/>
                <w:color w:val="000000"/>
                <w:lang w:eastAsia="es-CL"/>
              </w:rPr>
              <w:t>Tomás Ayala</w:t>
            </w:r>
          </w:p>
        </w:tc>
      </w:tr>
      <w:tr w:rsidR="00F877FB" w:rsidRPr="006F7B76" w14:paraId="2AAF8020" w14:textId="77777777" w:rsidTr="003A39B9">
        <w:trPr>
          <w:trHeight w:val="300"/>
        </w:trPr>
        <w:tc>
          <w:tcPr>
            <w:tcW w:w="3397" w:type="dxa"/>
            <w:noWrap/>
            <w:hideMark/>
          </w:tcPr>
          <w:p w14:paraId="4F2E00FE"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 xml:space="preserve">CSV </w:t>
            </w:r>
            <w:r w:rsidRPr="00FE3975">
              <w:rPr>
                <w:rFonts w:ascii="Calibri" w:eastAsia="Times New Roman" w:hAnsi="Calibri" w:cs="Calibri"/>
                <w:color w:val="000000"/>
                <w:lang w:eastAsia="es-CL"/>
              </w:rPr>
              <w:t>BICE Vida</w:t>
            </w:r>
          </w:p>
        </w:tc>
        <w:tc>
          <w:tcPr>
            <w:tcW w:w="2552" w:type="dxa"/>
            <w:noWrap/>
            <w:hideMark/>
          </w:tcPr>
          <w:p w14:paraId="32E8DE93"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Fabiola Maldonado</w:t>
            </w:r>
          </w:p>
        </w:tc>
      </w:tr>
      <w:tr w:rsidR="00F877FB" w:rsidRPr="006F7B76" w14:paraId="740B8C8C" w14:textId="77777777" w:rsidTr="003A39B9">
        <w:trPr>
          <w:trHeight w:val="300"/>
        </w:trPr>
        <w:tc>
          <w:tcPr>
            <w:tcW w:w="3397" w:type="dxa"/>
            <w:noWrap/>
            <w:hideMark/>
          </w:tcPr>
          <w:p w14:paraId="29D3137C" w14:textId="77777777" w:rsidR="00F877FB" w:rsidRPr="006F7B76" w:rsidRDefault="00F877FB" w:rsidP="00D77681">
            <w:pPr>
              <w:jc w:val="both"/>
              <w:rPr>
                <w:rFonts w:ascii="Calibri" w:eastAsia="Times New Roman" w:hAnsi="Calibri" w:cs="Calibri"/>
                <w:color w:val="000000"/>
                <w:lang w:eastAsia="es-CL"/>
              </w:rPr>
            </w:pPr>
            <w:r>
              <w:rPr>
                <w:rFonts w:ascii="Calibri" w:eastAsia="Times New Roman" w:hAnsi="Calibri" w:cs="Calibri"/>
                <w:color w:val="000000"/>
                <w:lang w:eastAsia="es-CL"/>
              </w:rPr>
              <w:t xml:space="preserve">CSV </w:t>
            </w:r>
            <w:r w:rsidRPr="00FE3975">
              <w:rPr>
                <w:rFonts w:ascii="Calibri" w:eastAsia="Times New Roman" w:hAnsi="Calibri" w:cs="Calibri"/>
                <w:color w:val="000000"/>
                <w:lang w:eastAsia="es-CL"/>
              </w:rPr>
              <w:t>BICE Vida</w:t>
            </w:r>
          </w:p>
        </w:tc>
        <w:tc>
          <w:tcPr>
            <w:tcW w:w="2552" w:type="dxa"/>
            <w:noWrap/>
            <w:hideMark/>
          </w:tcPr>
          <w:p w14:paraId="219F36F1"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Homero</w:t>
            </w:r>
            <w:r>
              <w:rPr>
                <w:rFonts w:ascii="Calibri" w:eastAsia="Times New Roman" w:hAnsi="Calibri" w:cs="Calibri"/>
                <w:color w:val="000000"/>
                <w:lang w:eastAsia="es-CL"/>
              </w:rPr>
              <w:t xml:space="preserve"> </w:t>
            </w:r>
            <w:proofErr w:type="spellStart"/>
            <w:r w:rsidRPr="007B026E">
              <w:rPr>
                <w:rFonts w:ascii="Calibri" w:eastAsia="Times New Roman" w:hAnsi="Calibri" w:cs="Calibri"/>
                <w:color w:val="000000"/>
                <w:lang w:eastAsia="es-CL"/>
              </w:rPr>
              <w:t>Iragüen</w:t>
            </w:r>
            <w:proofErr w:type="spellEnd"/>
          </w:p>
        </w:tc>
      </w:tr>
      <w:tr w:rsidR="00F877FB" w:rsidRPr="006F7B76" w14:paraId="735C4EB3" w14:textId="77777777" w:rsidTr="003A39B9">
        <w:trPr>
          <w:trHeight w:val="300"/>
        </w:trPr>
        <w:tc>
          <w:tcPr>
            <w:tcW w:w="3397" w:type="dxa"/>
            <w:noWrap/>
            <w:hideMark/>
          </w:tcPr>
          <w:p w14:paraId="7A1BBE42"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CSV Consorcio</w:t>
            </w:r>
          </w:p>
        </w:tc>
        <w:tc>
          <w:tcPr>
            <w:tcW w:w="2552" w:type="dxa"/>
            <w:noWrap/>
            <w:hideMark/>
          </w:tcPr>
          <w:p w14:paraId="155EDD4B"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Andrea Godoy</w:t>
            </w:r>
          </w:p>
        </w:tc>
      </w:tr>
      <w:tr w:rsidR="00F877FB" w:rsidRPr="006F7B76" w14:paraId="7F0B5CBA" w14:textId="77777777" w:rsidTr="003A39B9">
        <w:trPr>
          <w:trHeight w:val="300"/>
        </w:trPr>
        <w:tc>
          <w:tcPr>
            <w:tcW w:w="3397" w:type="dxa"/>
            <w:noWrap/>
            <w:hideMark/>
          </w:tcPr>
          <w:p w14:paraId="37441BAB"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 xml:space="preserve">CSV </w:t>
            </w:r>
            <w:proofErr w:type="spellStart"/>
            <w:r w:rsidRPr="006F7B76">
              <w:rPr>
                <w:rFonts w:ascii="Calibri" w:eastAsia="Times New Roman" w:hAnsi="Calibri" w:cs="Calibri"/>
                <w:color w:val="000000"/>
                <w:lang w:eastAsia="es-CL"/>
              </w:rPr>
              <w:t>Zurich</w:t>
            </w:r>
            <w:proofErr w:type="spellEnd"/>
          </w:p>
        </w:tc>
        <w:tc>
          <w:tcPr>
            <w:tcW w:w="2552" w:type="dxa"/>
            <w:noWrap/>
            <w:hideMark/>
          </w:tcPr>
          <w:p w14:paraId="4AE645AA" w14:textId="77777777" w:rsidR="00F877FB" w:rsidRPr="006F7B76" w:rsidRDefault="00F877FB" w:rsidP="00D77681">
            <w:pPr>
              <w:jc w:val="both"/>
              <w:rPr>
                <w:rFonts w:ascii="Calibri" w:eastAsia="Times New Roman" w:hAnsi="Calibri" w:cs="Calibri"/>
                <w:color w:val="000000"/>
                <w:lang w:eastAsia="es-CL"/>
              </w:rPr>
            </w:pPr>
            <w:r w:rsidRPr="006F7B76">
              <w:rPr>
                <w:rFonts w:ascii="Calibri" w:eastAsia="Times New Roman" w:hAnsi="Calibri" w:cs="Calibri"/>
                <w:color w:val="000000"/>
                <w:lang w:eastAsia="es-CL"/>
              </w:rPr>
              <w:t>Roger Mogrovejo</w:t>
            </w:r>
          </w:p>
        </w:tc>
      </w:tr>
    </w:tbl>
    <w:p w14:paraId="2E928DD5" w14:textId="77777777" w:rsidR="006F7B76" w:rsidRDefault="006F7B76" w:rsidP="00D77681">
      <w:pPr>
        <w:jc w:val="both"/>
      </w:pPr>
    </w:p>
    <w:p w14:paraId="7DF551D8" w14:textId="21FCF615" w:rsidR="0069633C" w:rsidRDefault="0069633C" w:rsidP="00D77681">
      <w:pPr>
        <w:jc w:val="both"/>
      </w:pPr>
    </w:p>
    <w:p w14:paraId="00794352" w14:textId="77777777" w:rsidR="00494EE3" w:rsidRDefault="00494EE3" w:rsidP="00D77681">
      <w:pPr>
        <w:jc w:val="both"/>
      </w:pPr>
    </w:p>
    <w:p w14:paraId="60DD973F" w14:textId="77777777" w:rsidR="0069633C" w:rsidRDefault="0069633C" w:rsidP="00D77681">
      <w:pPr>
        <w:jc w:val="both"/>
      </w:pPr>
    </w:p>
    <w:p w14:paraId="393A200D" w14:textId="77777777" w:rsidR="001D3B3B" w:rsidRDefault="001D3B3B" w:rsidP="00D77681">
      <w:pPr>
        <w:jc w:val="both"/>
      </w:pPr>
    </w:p>
    <w:p w14:paraId="2A05E7B1" w14:textId="77777777" w:rsidR="001D3B3B" w:rsidRDefault="001D3B3B" w:rsidP="00D77681">
      <w:pPr>
        <w:jc w:val="both"/>
      </w:pPr>
    </w:p>
    <w:p w14:paraId="1B501735" w14:textId="6A9711B6" w:rsidR="00323510" w:rsidRDefault="00323510" w:rsidP="00D77681">
      <w:pPr>
        <w:jc w:val="both"/>
      </w:pPr>
    </w:p>
    <w:p w14:paraId="408F5B91" w14:textId="77777777" w:rsidR="00323510" w:rsidRDefault="00323510" w:rsidP="00D77681">
      <w:pPr>
        <w:jc w:val="both"/>
      </w:pPr>
    </w:p>
    <w:p w14:paraId="70C42325" w14:textId="77777777" w:rsidR="00323510" w:rsidRDefault="00323510" w:rsidP="00D77681">
      <w:pPr>
        <w:jc w:val="both"/>
      </w:pPr>
    </w:p>
    <w:sectPr w:rsidR="0032351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8F9DC" w14:textId="77777777" w:rsidR="00FD1BFE" w:rsidRDefault="00FD1BFE" w:rsidP="005A4D6F">
      <w:pPr>
        <w:spacing w:after="0" w:line="240" w:lineRule="auto"/>
      </w:pPr>
      <w:r>
        <w:separator/>
      </w:r>
    </w:p>
  </w:endnote>
  <w:endnote w:type="continuationSeparator" w:id="0">
    <w:p w14:paraId="159EC62B" w14:textId="77777777" w:rsidR="00FD1BFE" w:rsidRDefault="00FD1BFE" w:rsidP="005A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F96F9" w14:textId="77777777" w:rsidR="001B5C11" w:rsidRDefault="001B5C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277F" w14:textId="77777777" w:rsidR="001B5C11" w:rsidRDefault="001B5C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C1AF" w14:textId="77777777" w:rsidR="001B5C11" w:rsidRDefault="001B5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0DE7A" w14:textId="77777777" w:rsidR="00FD1BFE" w:rsidRDefault="00FD1BFE" w:rsidP="005A4D6F">
      <w:pPr>
        <w:spacing w:after="0" w:line="240" w:lineRule="auto"/>
      </w:pPr>
      <w:r>
        <w:separator/>
      </w:r>
    </w:p>
  </w:footnote>
  <w:footnote w:type="continuationSeparator" w:id="0">
    <w:p w14:paraId="5DB869A9" w14:textId="77777777" w:rsidR="00FD1BFE" w:rsidRDefault="00FD1BFE" w:rsidP="005A4D6F">
      <w:pPr>
        <w:spacing w:after="0" w:line="240" w:lineRule="auto"/>
      </w:pPr>
      <w:r>
        <w:continuationSeparator/>
      </w:r>
    </w:p>
  </w:footnote>
  <w:footnote w:id="1">
    <w:p w14:paraId="19E5CA2A" w14:textId="77777777" w:rsidR="000C0948" w:rsidRPr="008D0A20" w:rsidRDefault="000C0948" w:rsidP="00CB0346">
      <w:pPr>
        <w:pStyle w:val="Textonotapie"/>
        <w:jc w:val="both"/>
        <w:rPr>
          <w:lang w:val="es-ES"/>
        </w:rPr>
      </w:pPr>
      <w:r>
        <w:rPr>
          <w:rStyle w:val="Refdenotaalpie"/>
        </w:rPr>
        <w:footnoteRef/>
      </w:r>
      <w:r>
        <w:t xml:space="preserve"> </w:t>
      </w:r>
      <w:r w:rsidRPr="00715AE5">
        <w:rPr>
          <w:sz w:val="18"/>
        </w:rPr>
        <w:t xml:space="preserve">Esta Minuta resume las exposiciones y opiniones de los representantes de las entidades privadas que participan en el Comité de Mercados Nacionales (el Comité), siendo de exclusiva responsabilidad de quienes las emiten. El rol de los funcionarios del </w:t>
      </w:r>
      <w:proofErr w:type="spellStart"/>
      <w:r w:rsidRPr="00715AE5">
        <w:rPr>
          <w:sz w:val="18"/>
        </w:rPr>
        <w:t>BCCh</w:t>
      </w:r>
      <w:proofErr w:type="spellEnd"/>
      <w:r w:rsidRPr="00715AE5">
        <w:rPr>
          <w:sz w:val="18"/>
        </w:rPr>
        <w:t xml:space="preserve"> que asisten a las reuniones del Comité se limita a servir como facilitadores para la celebración de </w:t>
      </w:r>
      <w:proofErr w:type="gramStart"/>
      <w:r w:rsidRPr="00715AE5">
        <w:rPr>
          <w:sz w:val="18"/>
        </w:rPr>
        <w:t>las mismas</w:t>
      </w:r>
      <w:proofErr w:type="gramEnd"/>
      <w:r w:rsidRPr="00715AE5">
        <w:rPr>
          <w:sz w:val="18"/>
        </w:rPr>
        <w:t xml:space="preserve"> y la adopción de acuerdos entre los representantes</w:t>
      </w:r>
      <w:r>
        <w:rPr>
          <w:sz w:val="18"/>
        </w:rPr>
        <w:t xml:space="preserve"> de las entidades privadas que </w:t>
      </w:r>
      <w:r w:rsidRPr="00715AE5">
        <w:rPr>
          <w:sz w:val="18"/>
        </w:rPr>
        <w:t xml:space="preserve">lo integran, por lo que las intervenciones que realicen los referidos funcionarios en este ámbito no anticipan la posición ni comprometen de manera alguna al Consejo del </w:t>
      </w:r>
      <w:proofErr w:type="spellStart"/>
      <w:r w:rsidRPr="00715AE5">
        <w:rPr>
          <w:sz w:val="18"/>
        </w:rPr>
        <w:t>BCCh</w:t>
      </w:r>
      <w:proofErr w:type="spellEnd"/>
      <w:r w:rsidRPr="00715AE5">
        <w:rPr>
          <w:sz w:val="18"/>
        </w:rPr>
        <w:t xml:space="preserve"> en relación a las materias y ac</w:t>
      </w:r>
      <w:r>
        <w:rPr>
          <w:sz w:val="18"/>
        </w:rPr>
        <w:t>uerdos descritos en esta minuta</w:t>
      </w:r>
      <w:r w:rsidRPr="00715AE5">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D0EC" w14:textId="77777777" w:rsidR="001B5C11" w:rsidRDefault="001B5C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BD197" w14:textId="57261CDA" w:rsidR="000C0948" w:rsidRDefault="000C0948" w:rsidP="007B026E">
    <w:pPr>
      <w:pStyle w:val="Encabezado"/>
      <w:jc w:val="right"/>
    </w:pPr>
    <w:r>
      <w:rPr>
        <w:noProof/>
      </w:rPr>
      <w:drawing>
        <wp:inline distT="0" distB="0" distL="0" distR="0" wp14:anchorId="6C2DCC02" wp14:editId="430CEA03">
          <wp:extent cx="736168" cy="387350"/>
          <wp:effectExtent l="0" t="0" r="6985"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3373" cy="417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E2537" w14:textId="77777777" w:rsidR="001B5C11" w:rsidRDefault="001B5C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6F"/>
    <w:rsid w:val="00016DF7"/>
    <w:rsid w:val="00045AC2"/>
    <w:rsid w:val="00046B6D"/>
    <w:rsid w:val="000C0948"/>
    <w:rsid w:val="000F1CED"/>
    <w:rsid w:val="00133F45"/>
    <w:rsid w:val="001B5C11"/>
    <w:rsid w:val="001D311B"/>
    <w:rsid w:val="001D3B3B"/>
    <w:rsid w:val="001E71B0"/>
    <w:rsid w:val="002560BE"/>
    <w:rsid w:val="002A0412"/>
    <w:rsid w:val="00323510"/>
    <w:rsid w:val="00362D91"/>
    <w:rsid w:val="00394C23"/>
    <w:rsid w:val="003A39B9"/>
    <w:rsid w:val="003B5D19"/>
    <w:rsid w:val="00494EE3"/>
    <w:rsid w:val="005A4D6F"/>
    <w:rsid w:val="005B75FD"/>
    <w:rsid w:val="0069633C"/>
    <w:rsid w:val="006D03FC"/>
    <w:rsid w:val="006F1DA0"/>
    <w:rsid w:val="006F7B76"/>
    <w:rsid w:val="00717ED1"/>
    <w:rsid w:val="00760390"/>
    <w:rsid w:val="007A3BA3"/>
    <w:rsid w:val="007B026E"/>
    <w:rsid w:val="007F474D"/>
    <w:rsid w:val="0083007C"/>
    <w:rsid w:val="00896E6E"/>
    <w:rsid w:val="0098227D"/>
    <w:rsid w:val="00A030AC"/>
    <w:rsid w:val="00A222B5"/>
    <w:rsid w:val="00AA0C15"/>
    <w:rsid w:val="00AA348F"/>
    <w:rsid w:val="00AB58C8"/>
    <w:rsid w:val="00AE5155"/>
    <w:rsid w:val="00C53A03"/>
    <w:rsid w:val="00C86CBA"/>
    <w:rsid w:val="00CB0346"/>
    <w:rsid w:val="00D77681"/>
    <w:rsid w:val="00DF6BEF"/>
    <w:rsid w:val="00F316B9"/>
    <w:rsid w:val="00F877FB"/>
    <w:rsid w:val="00FB42D1"/>
    <w:rsid w:val="00FD1BFE"/>
    <w:rsid w:val="00FE06C0"/>
    <w:rsid w:val="00FE39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C57BB"/>
  <w15:chartTrackingRefBased/>
  <w15:docId w15:val="{F35BC957-E8A3-4A30-AD9D-AE14D18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B03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0346"/>
    <w:rPr>
      <w:sz w:val="20"/>
      <w:szCs w:val="20"/>
    </w:rPr>
  </w:style>
  <w:style w:type="character" w:styleId="Refdenotaalpie">
    <w:name w:val="footnote reference"/>
    <w:basedOn w:val="Fuentedeprrafopredeter"/>
    <w:uiPriority w:val="99"/>
    <w:semiHidden/>
    <w:unhideWhenUsed/>
    <w:rsid w:val="00CB0346"/>
    <w:rPr>
      <w:vertAlign w:val="superscript"/>
    </w:rPr>
  </w:style>
  <w:style w:type="table" w:styleId="Tablaconcuadrcula">
    <w:name w:val="Table Grid"/>
    <w:basedOn w:val="Tablanormal"/>
    <w:uiPriority w:val="39"/>
    <w:rsid w:val="00FE3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02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26E"/>
  </w:style>
  <w:style w:type="paragraph" w:styleId="Piedepgina">
    <w:name w:val="footer"/>
    <w:basedOn w:val="Normal"/>
    <w:link w:val="PiedepginaCar"/>
    <w:uiPriority w:val="99"/>
    <w:unhideWhenUsed/>
    <w:rsid w:val="007B02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26E"/>
  </w:style>
  <w:style w:type="table" w:styleId="Tablaconcuadrculaclara">
    <w:name w:val="Grid Table Light"/>
    <w:basedOn w:val="Tablanormal"/>
    <w:uiPriority w:val="40"/>
    <w:rsid w:val="003A3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0C0948"/>
    <w:pPr>
      <w:spacing w:after="0" w:line="240" w:lineRule="auto"/>
    </w:pPr>
  </w:style>
  <w:style w:type="paragraph" w:styleId="Textodeglobo">
    <w:name w:val="Balloon Text"/>
    <w:basedOn w:val="Normal"/>
    <w:link w:val="TextodegloboCar"/>
    <w:uiPriority w:val="99"/>
    <w:semiHidden/>
    <w:unhideWhenUsed/>
    <w:rsid w:val="000C09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0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535143">
      <w:bodyDiv w:val="1"/>
      <w:marLeft w:val="0"/>
      <w:marRight w:val="0"/>
      <w:marTop w:val="0"/>
      <w:marBottom w:val="0"/>
      <w:divBdr>
        <w:top w:val="none" w:sz="0" w:space="0" w:color="auto"/>
        <w:left w:val="none" w:sz="0" w:space="0" w:color="auto"/>
        <w:bottom w:val="none" w:sz="0" w:space="0" w:color="auto"/>
        <w:right w:val="none" w:sz="0" w:space="0" w:color="auto"/>
      </w:divBdr>
    </w:div>
    <w:div w:id="18748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1798-67F9-4242-B18C-666EFE61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5356</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Estefó A</dc:creator>
  <cp:keywords/>
  <dc:description/>
  <cp:lastModifiedBy>Felipe Musa S</cp:lastModifiedBy>
  <cp:revision>2</cp:revision>
  <dcterms:created xsi:type="dcterms:W3CDTF">2021-07-07T15:22:00Z</dcterms:created>
  <dcterms:modified xsi:type="dcterms:W3CDTF">2021-07-07T15:22:00Z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2021-06-29T22:53:22Z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33faedba-63bd-4b2f-83d5-e48e670c751f</vt:lpwstr>
  </property>
  <property fmtid="{D5CDD505-2E9C-101B-9397-08002B2CF9AE}" pid="8" name="MSIP_Label_6f509eeb-56d7-4078-8c25-542621925144_ContentBits">
    <vt:lpwstr>0</vt:lpwstr>
  </property>
</Properties>
</file>