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9E" w:rsidRPr="00094370" w:rsidRDefault="008D0A20" w:rsidP="008D0A20">
      <w:pPr>
        <w:jc w:val="center"/>
        <w:rPr>
          <w:b/>
          <w:bCs/>
          <w:u w:val="single"/>
          <w:lang w:val="es-ES"/>
        </w:rPr>
      </w:pPr>
      <w:bookmarkStart w:id="0" w:name="_GoBack"/>
      <w:bookmarkEnd w:id="0"/>
      <w:r w:rsidRPr="00094370">
        <w:rPr>
          <w:b/>
          <w:bCs/>
          <w:u w:val="single"/>
          <w:lang w:val="es-ES"/>
        </w:rPr>
        <w:t>Minuta N°3</w:t>
      </w:r>
    </w:p>
    <w:p w:rsidR="008D0A20" w:rsidRPr="00094370" w:rsidRDefault="008D0A20" w:rsidP="008D0A20">
      <w:pPr>
        <w:jc w:val="center"/>
        <w:rPr>
          <w:b/>
          <w:bCs/>
          <w:u w:val="single"/>
          <w:lang w:val="es-ES"/>
        </w:rPr>
      </w:pPr>
      <w:r w:rsidRPr="00094370">
        <w:rPr>
          <w:b/>
          <w:bCs/>
          <w:u w:val="single"/>
          <w:lang w:val="es-ES"/>
        </w:rPr>
        <w:t xml:space="preserve">Comité de Mercados Nacionales </w:t>
      </w:r>
    </w:p>
    <w:p w:rsidR="008D0A20" w:rsidRPr="00094370" w:rsidRDefault="008D0A20" w:rsidP="008D0A20">
      <w:pPr>
        <w:jc w:val="center"/>
        <w:rPr>
          <w:lang w:val="es-ES"/>
        </w:rPr>
      </w:pPr>
      <w:r w:rsidRPr="00094370">
        <w:rPr>
          <w:lang w:val="es-ES"/>
        </w:rPr>
        <w:t>Santiago, viernes 6 de noviembre de 2020</w:t>
      </w:r>
    </w:p>
    <w:p w:rsidR="008D0A20" w:rsidRPr="00094370" w:rsidRDefault="008D0A20" w:rsidP="008D0A20">
      <w:pPr>
        <w:jc w:val="center"/>
        <w:rPr>
          <w:lang w:val="es-ES"/>
        </w:rPr>
      </w:pPr>
    </w:p>
    <w:p w:rsidR="00282D5B" w:rsidRPr="00094370" w:rsidRDefault="008D0A20" w:rsidP="00282D5B">
      <w:pPr>
        <w:jc w:val="both"/>
        <w:rPr>
          <w:b/>
        </w:rPr>
      </w:pPr>
      <w:r w:rsidRPr="00094370">
        <w:rPr>
          <w:b/>
          <w:bCs/>
        </w:rPr>
        <w:t xml:space="preserve">El viernes 6 de noviembre se </w:t>
      </w:r>
      <w:r w:rsidR="003E77BB">
        <w:rPr>
          <w:b/>
          <w:bCs/>
        </w:rPr>
        <w:t xml:space="preserve">realizó </w:t>
      </w:r>
      <w:r w:rsidRPr="00094370">
        <w:rPr>
          <w:b/>
          <w:bCs/>
        </w:rPr>
        <w:t>por</w:t>
      </w:r>
      <w:r w:rsidR="003E77BB">
        <w:rPr>
          <w:b/>
          <w:bCs/>
        </w:rPr>
        <w:t xml:space="preserve"> </w:t>
      </w:r>
      <w:r w:rsidR="00A21161">
        <w:rPr>
          <w:b/>
          <w:bCs/>
        </w:rPr>
        <w:t>video</w:t>
      </w:r>
      <w:r w:rsidR="003E77BB">
        <w:rPr>
          <w:b/>
          <w:bCs/>
        </w:rPr>
        <w:t>conferencia un</w:t>
      </w:r>
      <w:r w:rsidRPr="00094370">
        <w:rPr>
          <w:b/>
          <w:bCs/>
        </w:rPr>
        <w:t xml:space="preserve"> Comité de Mercados</w:t>
      </w:r>
      <w:r w:rsidR="008A1AE5">
        <w:rPr>
          <w:b/>
          <w:bCs/>
        </w:rPr>
        <w:t xml:space="preserve"> Nacionales</w:t>
      </w:r>
      <w:r w:rsidR="00A21161">
        <w:rPr>
          <w:b/>
          <w:bCs/>
        </w:rPr>
        <w:t xml:space="preserve"> (Comité)</w:t>
      </w:r>
      <w:r w:rsidR="003E77BB">
        <w:rPr>
          <w:b/>
          <w:bCs/>
        </w:rPr>
        <w:t xml:space="preserve"> extraordinario</w:t>
      </w:r>
      <w:r w:rsidRPr="00094370">
        <w:rPr>
          <w:b/>
          <w:bCs/>
        </w:rPr>
        <w:t>, reuniendo a ejecutivos de distintas instituciones y asociaciones</w:t>
      </w:r>
      <w:r w:rsidR="008A1AE5">
        <w:rPr>
          <w:b/>
          <w:bCs/>
        </w:rPr>
        <w:t xml:space="preserve"> del sector</w:t>
      </w:r>
      <w:r w:rsidRPr="00094370">
        <w:rPr>
          <w:b/>
          <w:bCs/>
        </w:rPr>
        <w:t xml:space="preserve"> financier</w:t>
      </w:r>
      <w:r w:rsidR="008A1AE5">
        <w:rPr>
          <w:b/>
          <w:bCs/>
        </w:rPr>
        <w:t>o</w:t>
      </w:r>
      <w:r w:rsidRPr="00094370">
        <w:rPr>
          <w:b/>
          <w:bCs/>
        </w:rPr>
        <w:t xml:space="preserve"> del mercado local. En esta oportunidad, el Banco Central de Chile</w:t>
      </w:r>
      <w:r w:rsidR="008A1AE5">
        <w:rPr>
          <w:b/>
          <w:bCs/>
        </w:rPr>
        <w:t xml:space="preserve"> (</w:t>
      </w:r>
      <w:proofErr w:type="spellStart"/>
      <w:r w:rsidR="008A1AE5">
        <w:rPr>
          <w:b/>
          <w:bCs/>
        </w:rPr>
        <w:t>BCCh</w:t>
      </w:r>
      <w:proofErr w:type="spellEnd"/>
      <w:r w:rsidR="008A1AE5">
        <w:rPr>
          <w:b/>
          <w:bCs/>
        </w:rPr>
        <w:t>)</w:t>
      </w:r>
      <w:r w:rsidRPr="00094370">
        <w:rPr>
          <w:b/>
          <w:bCs/>
        </w:rPr>
        <w:t xml:space="preserve"> realizó una presentación abordando </w:t>
      </w:r>
      <w:r w:rsidR="003D433F">
        <w:rPr>
          <w:b/>
          <w:bCs/>
        </w:rPr>
        <w:t>aspectos d</w:t>
      </w:r>
      <w:r w:rsidRPr="00094370">
        <w:rPr>
          <w:b/>
          <w:bCs/>
        </w:rPr>
        <w:t>el mercado cambiario formal</w:t>
      </w:r>
      <w:r w:rsidR="008A1AE5">
        <w:rPr>
          <w:b/>
          <w:bCs/>
        </w:rPr>
        <w:t xml:space="preserve"> (MCF)</w:t>
      </w:r>
      <w:r w:rsidRPr="00094370">
        <w:rPr>
          <w:b/>
          <w:bCs/>
        </w:rPr>
        <w:t xml:space="preserve"> y </w:t>
      </w:r>
      <w:r w:rsidR="00282D5B" w:rsidRPr="00094370">
        <w:rPr>
          <w:b/>
          <w:bCs/>
        </w:rPr>
        <w:t>el cálculo del dólar observado</w:t>
      </w:r>
      <w:r w:rsidR="003D433F">
        <w:rPr>
          <w:b/>
          <w:bCs/>
        </w:rPr>
        <w:t>: Se planteó</w:t>
      </w:r>
      <w:r w:rsidR="00282D5B" w:rsidRPr="00094370">
        <w:rPr>
          <w:b/>
        </w:rPr>
        <w:t xml:space="preserve"> a los miembros del </w:t>
      </w:r>
      <w:r w:rsidR="008A1AE5">
        <w:rPr>
          <w:b/>
        </w:rPr>
        <w:t>C</w:t>
      </w:r>
      <w:r w:rsidR="00282D5B" w:rsidRPr="00094370">
        <w:rPr>
          <w:b/>
        </w:rPr>
        <w:t xml:space="preserve">omité que el mercado financiero chileno cada día está aumentado su grado de integración con el mercado global debido a los esfuerzos que han </w:t>
      </w:r>
      <w:r w:rsidR="00A21161">
        <w:rPr>
          <w:b/>
        </w:rPr>
        <w:t xml:space="preserve">realizado los agentes </w:t>
      </w:r>
      <w:r w:rsidR="00282D5B" w:rsidRPr="00094370">
        <w:rPr>
          <w:b/>
        </w:rPr>
        <w:t>de mercado</w:t>
      </w:r>
      <w:r w:rsidR="003D433F">
        <w:rPr>
          <w:b/>
        </w:rPr>
        <w:t>,</w:t>
      </w:r>
      <w:r w:rsidR="00A21161">
        <w:rPr>
          <w:b/>
        </w:rPr>
        <w:t xml:space="preserve"> como</w:t>
      </w:r>
      <w:r w:rsidR="00282D5B" w:rsidRPr="00094370">
        <w:rPr>
          <w:b/>
        </w:rPr>
        <w:t xml:space="preserve"> el </w:t>
      </w:r>
      <w:proofErr w:type="spellStart"/>
      <w:r w:rsidR="00282D5B" w:rsidRPr="00094370">
        <w:rPr>
          <w:b/>
        </w:rPr>
        <w:t>B</w:t>
      </w:r>
      <w:r w:rsidR="008A1AE5">
        <w:rPr>
          <w:b/>
        </w:rPr>
        <w:t>CCh</w:t>
      </w:r>
      <w:proofErr w:type="spellEnd"/>
      <w:r w:rsidR="00282D5B" w:rsidRPr="00094370">
        <w:rPr>
          <w:b/>
        </w:rPr>
        <w:t>, el Ministerio de Hacienda y otros reguladore</w:t>
      </w:r>
      <w:r w:rsidR="003E77BB">
        <w:rPr>
          <w:b/>
        </w:rPr>
        <w:t>s. En ese escenario, se preguntó</w:t>
      </w:r>
      <w:r w:rsidR="00282D5B" w:rsidRPr="00094370">
        <w:rPr>
          <w:b/>
        </w:rPr>
        <w:t xml:space="preserve"> a los distintos</w:t>
      </w:r>
      <w:r w:rsidR="00A21161">
        <w:rPr>
          <w:b/>
        </w:rPr>
        <w:t xml:space="preserve"> miembros</w:t>
      </w:r>
      <w:r w:rsidR="00BB6ED5">
        <w:rPr>
          <w:b/>
        </w:rPr>
        <w:t xml:space="preserve"> del </w:t>
      </w:r>
      <w:r w:rsidR="008A1AE5">
        <w:rPr>
          <w:b/>
        </w:rPr>
        <w:t>C</w:t>
      </w:r>
      <w:r w:rsidR="00BB6ED5">
        <w:rPr>
          <w:b/>
        </w:rPr>
        <w:t>omité</w:t>
      </w:r>
      <w:r w:rsidR="00282D5B" w:rsidRPr="00094370">
        <w:rPr>
          <w:b/>
        </w:rPr>
        <w:t xml:space="preserve"> </w:t>
      </w:r>
      <w:r w:rsidR="00A21161">
        <w:rPr>
          <w:b/>
        </w:rPr>
        <w:t>¿</w:t>
      </w:r>
      <w:r w:rsidR="009334B9">
        <w:rPr>
          <w:b/>
        </w:rPr>
        <w:t>qué desafíos presenta</w:t>
      </w:r>
      <w:r w:rsidR="00282D5B" w:rsidRPr="00094370">
        <w:rPr>
          <w:b/>
        </w:rPr>
        <w:t xml:space="preserve"> el mercado local </w:t>
      </w:r>
      <w:r w:rsidR="009334B9">
        <w:rPr>
          <w:b/>
        </w:rPr>
        <w:t>con el fin de</w:t>
      </w:r>
      <w:r w:rsidR="00282D5B" w:rsidRPr="00094370">
        <w:rPr>
          <w:b/>
        </w:rPr>
        <w:t xml:space="preserve"> adaptarse </w:t>
      </w:r>
      <w:r w:rsidR="009334B9">
        <w:rPr>
          <w:b/>
        </w:rPr>
        <w:t>a la internalización d</w:t>
      </w:r>
      <w:r w:rsidR="00282D5B" w:rsidRPr="00094370">
        <w:rPr>
          <w:b/>
        </w:rPr>
        <w:t>el peso chileno</w:t>
      </w:r>
      <w:r w:rsidR="00A21161">
        <w:rPr>
          <w:b/>
        </w:rPr>
        <w:t>?</w:t>
      </w:r>
    </w:p>
    <w:p w:rsidR="00C12A37" w:rsidRPr="00094370" w:rsidRDefault="00282D5B" w:rsidP="008D0A20">
      <w:pPr>
        <w:jc w:val="both"/>
        <w:rPr>
          <w:b/>
          <w:bCs/>
        </w:rPr>
      </w:pPr>
      <w:r w:rsidRPr="00094370">
        <w:rPr>
          <w:b/>
          <w:bCs/>
        </w:rPr>
        <w:t>D</w:t>
      </w:r>
      <w:r w:rsidR="008D0A20" w:rsidRPr="00094370">
        <w:rPr>
          <w:b/>
          <w:bCs/>
        </w:rPr>
        <w:t>ebate de los asistentes, el cual se resume en la siguiente Minuta</w:t>
      </w:r>
      <w:r w:rsidR="008D0A20" w:rsidRPr="00094370">
        <w:rPr>
          <w:rStyle w:val="Refdenotaalpie"/>
          <w:b/>
          <w:bCs/>
        </w:rPr>
        <w:footnoteReference w:id="1"/>
      </w:r>
      <w:r w:rsidR="008D0A20" w:rsidRPr="00094370">
        <w:rPr>
          <w:b/>
          <w:bCs/>
        </w:rPr>
        <w:t>.</w:t>
      </w:r>
    </w:p>
    <w:p w:rsidR="00D041EF" w:rsidRPr="00094370" w:rsidRDefault="00D041EF" w:rsidP="00D041EF">
      <w:pPr>
        <w:jc w:val="both"/>
      </w:pPr>
      <w:r w:rsidRPr="00094370">
        <w:lastRenderedPageBreak/>
        <w:t xml:space="preserve">Hasta la fecha, el mercado cambiario local presenta limitaciones en cuanto a horarios de transacción, presentando mayor liquidez en la ventana entre las 09:00 y 12:00 horas. Lo anterior presenta un inconveniente para la inminente internacionalización del peso, donde los agentes no residentes aseguran </w:t>
      </w:r>
      <w:r w:rsidR="003E77BB">
        <w:t>que</w:t>
      </w:r>
      <w:r w:rsidRPr="00094370">
        <w:t xml:space="preserve"> dicho horario es una rigidez que no e</w:t>
      </w:r>
      <w:r w:rsidR="00A21161">
        <w:t>nfrentan en los mercados de otro</w:t>
      </w:r>
      <w:r w:rsidRPr="00094370">
        <w:t xml:space="preserve">s </w:t>
      </w:r>
      <w:r w:rsidR="00A21161">
        <w:t>paíse</w:t>
      </w:r>
      <w:r w:rsidRPr="00094370">
        <w:t>s. Se aspira a que, con la internacionalización del peso, los agentes locales comiencen a adaptarse para así poder operar en ventanas de tiempo más amplias que las actuales.</w:t>
      </w:r>
    </w:p>
    <w:p w:rsidR="003F1CAC" w:rsidRPr="00094370" w:rsidRDefault="00D041EF" w:rsidP="008D0A20">
      <w:pPr>
        <w:jc w:val="both"/>
      </w:pPr>
      <w:r w:rsidRPr="00094370">
        <w:t>Un miembro pla</w:t>
      </w:r>
      <w:r w:rsidR="00BB6ED5">
        <w:t>n</w:t>
      </w:r>
      <w:r w:rsidRPr="00094370">
        <w:t xml:space="preserve">tea que la </w:t>
      </w:r>
      <w:r w:rsidR="008A1AE5">
        <w:t>internacionalización del peso</w:t>
      </w:r>
      <w:r w:rsidR="00BB6ED5">
        <w:t xml:space="preserve"> no necesariamente genera</w:t>
      </w:r>
      <w:r w:rsidR="008A1AE5">
        <w:t>ría</w:t>
      </w:r>
      <w:r w:rsidRPr="00094370">
        <w:t xml:space="preserve"> un gran foco de tensión en el mercado de </w:t>
      </w:r>
      <w:r w:rsidRPr="005C6701">
        <w:rPr>
          <w:i/>
          <w:iCs/>
        </w:rPr>
        <w:t>FX Spot</w:t>
      </w:r>
      <w:r w:rsidRPr="00094370">
        <w:t xml:space="preserve"> local. Argumenta que los cambios profundos de esta iniciativa se darán </w:t>
      </w:r>
      <w:r w:rsidR="005C6701">
        <w:t>ante</w:t>
      </w:r>
      <w:r w:rsidR="008A1AE5">
        <w:t xml:space="preserve"> el posible otorgamiento</w:t>
      </w:r>
      <w:r w:rsidRPr="00094370">
        <w:t xml:space="preserve"> de créditos en pesos a extranjeros, en la compensación de derivados en pesos con </w:t>
      </w:r>
      <w:r w:rsidR="005C6701">
        <w:t xml:space="preserve">agentes </w:t>
      </w:r>
      <w:r w:rsidR="005C6701">
        <w:rPr>
          <w:i/>
          <w:iCs/>
        </w:rPr>
        <w:t>off shore</w:t>
      </w:r>
      <w:r w:rsidRPr="00094370">
        <w:t xml:space="preserve"> y, por último, </w:t>
      </w:r>
      <w:r w:rsidR="005C6701">
        <w:t>la posibilid</w:t>
      </w:r>
      <w:r w:rsidR="00BB6ED5">
        <w:t>ad para</w:t>
      </w:r>
      <w:r w:rsidR="005C6701">
        <w:t xml:space="preserve"> </w:t>
      </w:r>
      <w:r w:rsidRPr="00094370">
        <w:t>que los</w:t>
      </w:r>
      <w:r w:rsidR="005C6701">
        <w:t xml:space="preserve"> residentes puedan</w:t>
      </w:r>
      <w:r w:rsidRPr="00094370">
        <w:t xml:space="preserve"> </w:t>
      </w:r>
      <w:r w:rsidR="00250499">
        <w:t>adquirir</w:t>
      </w:r>
      <w:r w:rsidRPr="00094370">
        <w:t xml:space="preserve"> activos en moneda local en mercado</w:t>
      </w:r>
      <w:r w:rsidR="00F92A90">
        <w:t>s</w:t>
      </w:r>
      <w:r w:rsidRPr="00094370">
        <w:t xml:space="preserve"> internacionales. </w:t>
      </w:r>
      <w:r w:rsidR="00250499">
        <w:t>Por</w:t>
      </w:r>
      <w:r w:rsidRPr="00094370">
        <w:t xml:space="preserve"> lo anterior, </w:t>
      </w:r>
      <w:r w:rsidR="009334B9">
        <w:t>el desenlace de la mayor integración local con el mercado global es incierto</w:t>
      </w:r>
      <w:r w:rsidR="00250499">
        <w:t>. Se podrían desarrollar</w:t>
      </w:r>
      <w:r w:rsidRPr="00094370">
        <w:t xml:space="preserve"> dos escenarios extremos. El escenario favorable sería un aumento de la actividad y profundidad de los mercados locales, debido a un</w:t>
      </w:r>
      <w:r w:rsidR="00BB6ED5">
        <w:t xml:space="preserve"> mayor flujo de entrada</w:t>
      </w:r>
      <w:r w:rsidRPr="00094370">
        <w:t xml:space="preserve"> por parte de extranjeros. El escenario desfavorable </w:t>
      </w:r>
      <w:r w:rsidRPr="00094370">
        <w:lastRenderedPageBreak/>
        <w:t xml:space="preserve">sería una migración de los activos chilenos a mercados internacionales, reduciendo al mínimo la liquidez y profundidad del mercado </w:t>
      </w:r>
      <w:r w:rsidR="00BB6ED5">
        <w:t>doméstico</w:t>
      </w:r>
      <w:r w:rsidRPr="00094370">
        <w:t xml:space="preserve">, obligando a los actores locales a buscar activos </w:t>
      </w:r>
      <w:r w:rsidR="00BB6ED5">
        <w:t>chilenos</w:t>
      </w:r>
      <w:r w:rsidRPr="00094370">
        <w:t xml:space="preserve"> al extranjero.</w:t>
      </w:r>
    </w:p>
    <w:p w:rsidR="001E02FD" w:rsidRPr="00094370" w:rsidRDefault="00250499" w:rsidP="008D0A20">
      <w:pPr>
        <w:jc w:val="both"/>
      </w:pPr>
      <w:r>
        <w:t xml:space="preserve">En relación </w:t>
      </w:r>
      <w:r w:rsidR="003D433F">
        <w:t xml:space="preserve">con el </w:t>
      </w:r>
      <w:r>
        <w:t>mercado cambiario local, a</w:t>
      </w:r>
      <w:r w:rsidR="003F3397" w:rsidRPr="00094370">
        <w:t xml:space="preserve">lgunos miembros </w:t>
      </w:r>
      <w:r w:rsidR="003F1CAC" w:rsidRPr="00094370">
        <w:t>asegura</w:t>
      </w:r>
      <w:r w:rsidR="003F3397" w:rsidRPr="00094370">
        <w:t>n</w:t>
      </w:r>
      <w:r w:rsidR="003F1CAC" w:rsidRPr="00094370">
        <w:t xml:space="preserve"> que</w:t>
      </w:r>
      <w:r w:rsidR="005C6701">
        <w:t xml:space="preserve"> en</w:t>
      </w:r>
      <w:r w:rsidR="003F1CAC" w:rsidRPr="00094370">
        <w:t xml:space="preserve"> </w:t>
      </w:r>
      <w:r w:rsidR="001135E8" w:rsidRPr="00094370">
        <w:t xml:space="preserve">el último tiempo </w:t>
      </w:r>
      <w:r w:rsidR="00282D5B" w:rsidRPr="00094370">
        <w:t xml:space="preserve">se </w:t>
      </w:r>
      <w:r w:rsidR="001135E8" w:rsidRPr="00094370">
        <w:t>han</w:t>
      </w:r>
      <w:r w:rsidR="00F511F0" w:rsidRPr="00094370">
        <w:t xml:space="preserve"> </w:t>
      </w:r>
      <w:r w:rsidR="001135E8" w:rsidRPr="00094370">
        <w:t xml:space="preserve">registrado </w:t>
      </w:r>
      <w:r w:rsidR="003D433F" w:rsidRPr="00094370">
        <w:t xml:space="preserve">flujos diarios </w:t>
      </w:r>
      <w:r w:rsidR="00282D5B" w:rsidRPr="00094370">
        <w:t xml:space="preserve">mayores </w:t>
      </w:r>
      <w:r w:rsidR="00D12BA9" w:rsidRPr="00094370">
        <w:t xml:space="preserve">e incrementales </w:t>
      </w:r>
      <w:r w:rsidR="003D433F">
        <w:t>por</w:t>
      </w:r>
      <w:r w:rsidR="003D433F" w:rsidRPr="00094370">
        <w:t xml:space="preserve"> </w:t>
      </w:r>
      <w:r w:rsidR="00D12BA9" w:rsidRPr="00094370">
        <w:t xml:space="preserve">a la </w:t>
      </w:r>
      <w:r w:rsidR="003F1CAC" w:rsidRPr="00094370">
        <w:t>compra o</w:t>
      </w:r>
      <w:r w:rsidR="001135E8" w:rsidRPr="00094370">
        <w:t xml:space="preserve"> venta</w:t>
      </w:r>
      <w:r w:rsidR="00A41CF8">
        <w:t xml:space="preserve"> asociados a cambios de fondos de pensiones</w:t>
      </w:r>
      <w:r w:rsidR="008A1AE5">
        <w:t>,</w:t>
      </w:r>
      <w:r w:rsidR="00420C74" w:rsidRPr="00094370">
        <w:t xml:space="preserve"> </w:t>
      </w:r>
      <w:r w:rsidR="006447E2">
        <w:t xml:space="preserve">los cuales serían </w:t>
      </w:r>
      <w:r w:rsidR="00420C74" w:rsidRPr="00094370">
        <w:t xml:space="preserve">conocidos por el mercado, y que en definitiva generan una distorsión en el </w:t>
      </w:r>
      <w:r w:rsidR="006055B8" w:rsidRPr="00094370">
        <w:t>precio del</w:t>
      </w:r>
      <w:r w:rsidR="00D12BA9" w:rsidRPr="00094370">
        <w:t xml:space="preserve"> </w:t>
      </w:r>
      <w:r w:rsidR="006055B8" w:rsidRPr="00094370">
        <w:t xml:space="preserve">peso chileno si se compara </w:t>
      </w:r>
      <w:r w:rsidR="00D12BA9" w:rsidRPr="00094370">
        <w:t>con una canasta de monedas referenciales.</w:t>
      </w:r>
      <w:r w:rsidR="00AA6CA2" w:rsidRPr="00094370">
        <w:t xml:space="preserve"> </w:t>
      </w:r>
      <w:r>
        <w:t xml:space="preserve">Comentan que </w:t>
      </w:r>
      <w:r w:rsidR="00420C74" w:rsidRPr="00094370">
        <w:t>la baja profundidad y limitados horarios de negociación</w:t>
      </w:r>
      <w:r w:rsidR="00F90AFB" w:rsidRPr="00094370">
        <w:t xml:space="preserve"> del mercado local </w:t>
      </w:r>
      <w:r w:rsidR="008A1AE5">
        <w:t xml:space="preserve">podrían </w:t>
      </w:r>
      <w:r w:rsidR="00F90AFB" w:rsidRPr="00094370">
        <w:t>perjudica</w:t>
      </w:r>
      <w:r w:rsidR="008A1AE5">
        <w:t>r</w:t>
      </w:r>
      <w:r w:rsidR="00F90AFB" w:rsidRPr="00094370">
        <w:t xml:space="preserve"> la</w:t>
      </w:r>
      <w:r w:rsidR="001E02FD" w:rsidRPr="00094370">
        <w:t xml:space="preserve"> correcta formación de precios ante la ejecución </w:t>
      </w:r>
      <w:r w:rsidR="00BB6ED5">
        <w:t>de</w:t>
      </w:r>
      <w:r w:rsidR="001E02FD" w:rsidRPr="00094370">
        <w:t xml:space="preserve"> estos</w:t>
      </w:r>
      <w:r w:rsidR="00D12BA9" w:rsidRPr="00094370">
        <w:t xml:space="preserve"> </w:t>
      </w:r>
      <w:r w:rsidR="00AA6CA2" w:rsidRPr="00094370">
        <w:t>flujos</w:t>
      </w:r>
      <w:r w:rsidR="00D12BA9" w:rsidRPr="00094370">
        <w:t xml:space="preserve"> relevantes</w:t>
      </w:r>
      <w:r w:rsidR="001E02FD" w:rsidRPr="00094370">
        <w:t>.</w:t>
      </w:r>
      <w:r w:rsidR="003F3397" w:rsidRPr="00094370">
        <w:t xml:space="preserve"> </w:t>
      </w:r>
    </w:p>
    <w:p w:rsidR="00E41B01" w:rsidRPr="00094370" w:rsidRDefault="00821A71" w:rsidP="00822233">
      <w:pPr>
        <w:jc w:val="both"/>
      </w:pPr>
      <w:r w:rsidRPr="00094370">
        <w:t xml:space="preserve">En la misma línea, diferentes miembros </w:t>
      </w:r>
      <w:r w:rsidR="009644E8" w:rsidRPr="00094370">
        <w:t xml:space="preserve">confirman que los actuales horarios y profundidad de mercado </w:t>
      </w:r>
      <w:r w:rsidR="00985CF5">
        <w:t xml:space="preserve">podrían eventualmente </w:t>
      </w:r>
      <w:r w:rsidR="009644E8" w:rsidRPr="00094370">
        <w:t>limita</w:t>
      </w:r>
      <w:r w:rsidR="00985CF5">
        <w:t>r</w:t>
      </w:r>
      <w:r w:rsidR="009644E8" w:rsidRPr="00094370">
        <w:t xml:space="preserve"> y</w:t>
      </w:r>
      <w:r w:rsidR="00985CF5">
        <w:t>/o</w:t>
      </w:r>
      <w:r w:rsidR="009644E8" w:rsidRPr="00094370">
        <w:t xml:space="preserve"> dificulta</w:t>
      </w:r>
      <w:r w:rsidR="00985CF5">
        <w:t>r</w:t>
      </w:r>
      <w:r w:rsidR="009644E8" w:rsidRPr="00094370">
        <w:t xml:space="preserve"> la ejecución de operaciones en otros </w:t>
      </w:r>
      <w:proofErr w:type="spellStart"/>
      <w:r w:rsidR="009644E8" w:rsidRPr="00094370">
        <w:t>husos</w:t>
      </w:r>
      <w:proofErr w:type="spellEnd"/>
      <w:r w:rsidR="009644E8" w:rsidRPr="00094370">
        <w:t xml:space="preserve"> horario en distintos mercados</w:t>
      </w:r>
      <w:r w:rsidR="00553537" w:rsidRPr="00094370">
        <w:t xml:space="preserve"> internacionales</w:t>
      </w:r>
      <w:r w:rsidR="009644E8" w:rsidRPr="00094370">
        <w:t>. A</w:t>
      </w:r>
      <w:r w:rsidRPr="00094370">
        <w:t>firman que el mercado en general se beneficiaría de un horario de negociación más extendido,</w:t>
      </w:r>
      <w:r w:rsidR="00822233" w:rsidRPr="00094370">
        <w:t xml:space="preserve"> particularmente el mercado de renta fija, </w:t>
      </w:r>
      <w:r w:rsidR="00553537" w:rsidRPr="00094370">
        <w:t xml:space="preserve">tanto para inversiones como para agentes locales que emiten deuda en el extranjero. Plantean que en </w:t>
      </w:r>
      <w:r w:rsidR="00822233" w:rsidRPr="00094370">
        <w:t xml:space="preserve">otros países </w:t>
      </w:r>
      <w:r w:rsidR="003D433F">
        <w:t>el</w:t>
      </w:r>
      <w:r w:rsidR="00822233" w:rsidRPr="00094370">
        <w:t xml:space="preserve"> mercado cambiario es </w:t>
      </w:r>
      <w:r w:rsidR="003D433F">
        <w:t xml:space="preserve">suficientemente líquido </w:t>
      </w:r>
      <w:r w:rsidR="00822233" w:rsidRPr="00094370">
        <w:t>hasta las 17:00 horas, lo que facilita la correcta creación de precios y evita generar distorsiones</w:t>
      </w:r>
      <w:r w:rsidR="00BB6ED5">
        <w:t xml:space="preserve"> en transacciones</w:t>
      </w:r>
      <w:r w:rsidR="00822233" w:rsidRPr="00094370">
        <w:t xml:space="preserve"> con distint</w:t>
      </w:r>
      <w:r w:rsidR="00914521">
        <w:t xml:space="preserve">os días de </w:t>
      </w:r>
      <w:r w:rsidR="00A21161">
        <w:t>pagos/</w:t>
      </w:r>
      <w:r w:rsidR="00914521">
        <w:t>transfere</w:t>
      </w:r>
      <w:r w:rsidR="00A21161">
        <w:t>n</w:t>
      </w:r>
      <w:r w:rsidR="00914521">
        <w:t>cias</w:t>
      </w:r>
      <w:r w:rsidR="00822233" w:rsidRPr="00094370">
        <w:t xml:space="preserve"> entre la compra/venta de instrumentos y la compra/venta de divisas.</w:t>
      </w:r>
    </w:p>
    <w:p w:rsidR="006447E2" w:rsidRPr="00094370" w:rsidRDefault="006447E2" w:rsidP="006447E2">
      <w:pPr>
        <w:jc w:val="both"/>
      </w:pPr>
      <w:r w:rsidRPr="00094370">
        <w:t xml:space="preserve">Un miembro </w:t>
      </w:r>
      <w:r>
        <w:t>indica</w:t>
      </w:r>
      <w:r w:rsidRPr="00094370">
        <w:t xml:space="preserve"> que la entrega de información por parte de los bancos para el cálculo del dóla</w:t>
      </w:r>
      <w:r>
        <w:t>r observado podría estar limitando</w:t>
      </w:r>
      <w:r w:rsidRPr="00094370">
        <w:t xml:space="preserve"> el horario de negoci</w:t>
      </w:r>
      <w:r>
        <w:t>aci</w:t>
      </w:r>
      <w:r w:rsidRPr="00094370">
        <w:t xml:space="preserve">ón </w:t>
      </w:r>
      <w:r w:rsidRPr="00094370">
        <w:lastRenderedPageBreak/>
        <w:t xml:space="preserve">del mercado FX. Lo atribuye a </w:t>
      </w:r>
      <w:r>
        <w:t xml:space="preserve">un </w:t>
      </w:r>
      <w:r w:rsidRPr="00094370">
        <w:t xml:space="preserve">problema de interpretación legal y </w:t>
      </w:r>
      <w:r>
        <w:t xml:space="preserve">a un </w:t>
      </w:r>
      <w:r w:rsidRPr="00094370">
        <w:t xml:space="preserve">bajo poder de procesamiento </w:t>
      </w:r>
      <w:r>
        <w:t>en</w:t>
      </w:r>
      <w:r w:rsidRPr="00094370">
        <w:t xml:space="preserve"> la generación de información necesaria para el cumplimiento del cálculo del índice.</w:t>
      </w:r>
      <w:r>
        <w:t xml:space="preserve"> </w:t>
      </w:r>
    </w:p>
    <w:p w:rsidR="00D16E9C" w:rsidRPr="00094370" w:rsidRDefault="00057CDE" w:rsidP="00822233">
      <w:pPr>
        <w:jc w:val="both"/>
      </w:pPr>
      <w:r w:rsidRPr="00094370">
        <w:t>Representantes</w:t>
      </w:r>
      <w:r w:rsidR="00DA5413" w:rsidRPr="00094370">
        <w:t xml:space="preserve"> de los bancos</w:t>
      </w:r>
      <w:r w:rsidRPr="00094370">
        <w:t xml:space="preserve"> </w:t>
      </w:r>
      <w:r w:rsidR="00D22EBD">
        <w:t>mencionan</w:t>
      </w:r>
      <w:r w:rsidR="00D22EBD" w:rsidRPr="00094370">
        <w:t xml:space="preserve"> </w:t>
      </w:r>
      <w:r w:rsidRPr="00094370">
        <w:t>que el cálculo de dólar observado no es una limitante. Interpretan que hay un factor cultural o de costumbre transversal entre las contrapartes de</w:t>
      </w:r>
      <w:r w:rsidR="00985CF5">
        <w:t>l</w:t>
      </w:r>
      <w:r w:rsidRPr="00094370">
        <w:t xml:space="preserve"> mercado</w:t>
      </w:r>
      <w:r w:rsidR="00985CF5">
        <w:t xml:space="preserve"> nacional</w:t>
      </w:r>
      <w:r w:rsidRPr="00094370">
        <w:t xml:space="preserve"> </w:t>
      </w:r>
      <w:r w:rsidR="00DA5413" w:rsidRPr="00094370">
        <w:t xml:space="preserve">en negociar en horarios </w:t>
      </w:r>
      <w:r w:rsidR="00BB6ED5">
        <w:t>matutinos</w:t>
      </w:r>
      <w:r w:rsidR="005C6701" w:rsidRPr="00094370">
        <w:t>.</w:t>
      </w:r>
      <w:r w:rsidR="00DA5413" w:rsidRPr="00094370">
        <w:t xml:space="preserve"> </w:t>
      </w:r>
    </w:p>
    <w:p w:rsidR="00E14D56" w:rsidRPr="00094370" w:rsidRDefault="00DA5413" w:rsidP="00822233">
      <w:pPr>
        <w:jc w:val="both"/>
      </w:pPr>
      <w:r w:rsidRPr="00094370">
        <w:t xml:space="preserve">Otros </w:t>
      </w:r>
      <w:r w:rsidR="005C6701">
        <w:t>representantes</w:t>
      </w:r>
      <w:r w:rsidRPr="00094370">
        <w:t xml:space="preserve"> del sector bancario </w:t>
      </w:r>
      <w:r w:rsidR="00D22EBD">
        <w:t>contra argumentan</w:t>
      </w:r>
      <w:r w:rsidR="00D22EBD" w:rsidRPr="00094370">
        <w:t xml:space="preserve"> </w:t>
      </w:r>
      <w:r w:rsidR="00E14D56" w:rsidRPr="00094370">
        <w:t>que la limitación de los actuales horarios de neg</w:t>
      </w:r>
      <w:r w:rsidR="00BB6ED5">
        <w:t>oci</w:t>
      </w:r>
      <w:r w:rsidR="00E14D56" w:rsidRPr="00094370">
        <w:t xml:space="preserve">ación </w:t>
      </w:r>
      <w:r w:rsidR="00E41B01" w:rsidRPr="00094370">
        <w:t>del mercado</w:t>
      </w:r>
      <w:r w:rsidR="00E14D56" w:rsidRPr="00094370">
        <w:t xml:space="preserve"> cambiario es </w:t>
      </w:r>
      <w:r w:rsidR="00D22EBD">
        <w:t xml:space="preserve">por </w:t>
      </w:r>
      <w:r w:rsidR="00E14D56" w:rsidRPr="00094370">
        <w:t xml:space="preserve">la reducida </w:t>
      </w:r>
      <w:r w:rsidR="0055654B" w:rsidRPr="00094370">
        <w:t xml:space="preserve">y básica </w:t>
      </w:r>
      <w:r w:rsidR="00E14D56" w:rsidRPr="00094370">
        <w:t xml:space="preserve">infraestructura del </w:t>
      </w:r>
      <w:r w:rsidR="00E41B01" w:rsidRPr="00094370">
        <w:t xml:space="preserve">mercado </w:t>
      </w:r>
      <w:r w:rsidR="002979C9" w:rsidRPr="00094370">
        <w:t xml:space="preserve">local </w:t>
      </w:r>
      <w:r w:rsidR="00E14D56" w:rsidRPr="00094370">
        <w:t xml:space="preserve">para obtener financiamiento </w:t>
      </w:r>
      <w:r w:rsidR="00E41B01" w:rsidRPr="00094370">
        <w:t>en dólares</w:t>
      </w:r>
      <w:r w:rsidR="00E14D56" w:rsidRPr="00094370">
        <w:t xml:space="preserve"> durante el día</w:t>
      </w:r>
      <w:r w:rsidRPr="00094370">
        <w:t>, lo cual impide cerrar posiciones de descalce cambiario</w:t>
      </w:r>
      <w:r w:rsidR="003D73D7" w:rsidRPr="00094370">
        <w:t>. Lo</w:t>
      </w:r>
      <w:r w:rsidR="00BB6ED5">
        <w:t>s</w:t>
      </w:r>
      <w:r w:rsidR="003D73D7" w:rsidRPr="00094370">
        <w:t xml:space="preserve"> mi</w:t>
      </w:r>
      <w:r w:rsidRPr="00094370">
        <w:t>s</w:t>
      </w:r>
      <w:r w:rsidR="003D73D7" w:rsidRPr="00094370">
        <w:t xml:space="preserve">mos </w:t>
      </w:r>
      <w:r w:rsidR="00B1114D">
        <w:t>argumentan</w:t>
      </w:r>
      <w:r w:rsidR="00B1114D" w:rsidRPr="00094370">
        <w:t xml:space="preserve"> </w:t>
      </w:r>
      <w:r w:rsidR="003D73D7" w:rsidRPr="00094370">
        <w:t xml:space="preserve">que </w:t>
      </w:r>
      <w:r w:rsidR="00B1114D">
        <w:t xml:space="preserve">con </w:t>
      </w:r>
      <w:r w:rsidR="00BB6ED5">
        <w:t>mayores posibilidades de</w:t>
      </w:r>
      <w:r w:rsidRPr="00094370">
        <w:t xml:space="preserve"> acceso a</w:t>
      </w:r>
      <w:r w:rsidR="003D73D7" w:rsidRPr="00094370">
        <w:t xml:space="preserve"> financiamiento </w:t>
      </w:r>
      <w:r w:rsidR="00BB6ED5">
        <w:t xml:space="preserve">en </w:t>
      </w:r>
      <w:r w:rsidR="003D73D7" w:rsidRPr="00094370">
        <w:t xml:space="preserve">dólares a través de un </w:t>
      </w:r>
      <w:proofErr w:type="spellStart"/>
      <w:r w:rsidR="003D73D7" w:rsidRPr="00094370">
        <w:rPr>
          <w:i/>
        </w:rPr>
        <w:t>money</w:t>
      </w:r>
      <w:proofErr w:type="spellEnd"/>
      <w:r w:rsidR="003D73D7" w:rsidRPr="00094370">
        <w:rPr>
          <w:i/>
        </w:rPr>
        <w:t xml:space="preserve"> </w:t>
      </w:r>
      <w:proofErr w:type="spellStart"/>
      <w:r w:rsidR="003D73D7" w:rsidRPr="00094370">
        <w:rPr>
          <w:i/>
        </w:rPr>
        <w:t>market</w:t>
      </w:r>
      <w:proofErr w:type="spellEnd"/>
      <w:r w:rsidR="003D73D7" w:rsidRPr="00094370">
        <w:t xml:space="preserve"> profundo, un mercado de repo y la posibilidad </w:t>
      </w:r>
      <w:r w:rsidR="00E14D56" w:rsidRPr="00094370">
        <w:t xml:space="preserve">de </w:t>
      </w:r>
      <w:r w:rsidR="00E41B01" w:rsidRPr="00094370">
        <w:t xml:space="preserve">facilidades de liquidez </w:t>
      </w:r>
      <w:r w:rsidR="00E14D56" w:rsidRPr="00094370">
        <w:t xml:space="preserve">del </w:t>
      </w:r>
      <w:proofErr w:type="spellStart"/>
      <w:r w:rsidR="00E14D56" w:rsidRPr="00094370">
        <w:t>BCCh</w:t>
      </w:r>
      <w:proofErr w:type="spellEnd"/>
      <w:r w:rsidR="00E14D56" w:rsidRPr="00094370">
        <w:t xml:space="preserve"> en dólares</w:t>
      </w:r>
      <w:r w:rsidR="00985CF5">
        <w:t>,</w:t>
      </w:r>
      <w:r w:rsidR="003C5E2E" w:rsidRPr="00094370">
        <w:t xml:space="preserve"> facilitaría a</w:t>
      </w:r>
      <w:r w:rsidR="00E14D56" w:rsidRPr="00094370">
        <w:t>m</w:t>
      </w:r>
      <w:r w:rsidR="003C5E2E" w:rsidRPr="00094370">
        <w:t>p</w:t>
      </w:r>
      <w:r w:rsidR="00E14D56" w:rsidRPr="00094370">
        <w:t xml:space="preserve">liar </w:t>
      </w:r>
      <w:r w:rsidR="003D73D7" w:rsidRPr="00094370">
        <w:t>los horarios</w:t>
      </w:r>
      <w:r w:rsidR="003C5E2E" w:rsidRPr="00094370">
        <w:t xml:space="preserve"> de nego</w:t>
      </w:r>
      <w:r w:rsidR="00BB6ED5">
        <w:t>cia</w:t>
      </w:r>
      <w:r w:rsidR="003C5E2E" w:rsidRPr="00094370">
        <w:t xml:space="preserve">ción y </w:t>
      </w:r>
      <w:r w:rsidR="00E41B01" w:rsidRPr="00094370">
        <w:t xml:space="preserve">liquidación </w:t>
      </w:r>
      <w:r w:rsidR="00BB6ED5">
        <w:t>de</w:t>
      </w:r>
      <w:r w:rsidR="003D73D7" w:rsidRPr="00094370">
        <w:t xml:space="preserve"> operaciones cambiarias</w:t>
      </w:r>
      <w:r w:rsidR="00E41B01" w:rsidRPr="00094370">
        <w:t xml:space="preserve">. </w:t>
      </w:r>
    </w:p>
    <w:p w:rsidR="00466CD3" w:rsidRPr="00094370" w:rsidRDefault="005A074A" w:rsidP="008D0A20">
      <w:pPr>
        <w:jc w:val="both"/>
      </w:pPr>
      <w:r w:rsidRPr="00094370">
        <w:t>Varios miembr</w:t>
      </w:r>
      <w:r w:rsidR="00EF599D">
        <w:t xml:space="preserve">os </w:t>
      </w:r>
      <w:r w:rsidR="00D22EBD">
        <w:t xml:space="preserve">indican </w:t>
      </w:r>
      <w:r w:rsidR="00EF599D">
        <w:t>que es prioritaria</w:t>
      </w:r>
      <w:r w:rsidRPr="00094370">
        <w:t xml:space="preserve"> la extensión de horarios, y que se deben hacer los esfuerzos necesarios por todas las industrias</w:t>
      </w:r>
      <w:r w:rsidR="00094370" w:rsidRPr="00094370">
        <w:t>. En la medida que los mercados se empiecen a sofisticar, también lo harán los distintos agentes</w:t>
      </w:r>
      <w:r w:rsidR="00094370">
        <w:t>, ya sea por una oportunidad de negocio o por sobrevivencia. En este sentido es</w:t>
      </w:r>
      <w:r w:rsidR="00094370" w:rsidRPr="00094370">
        <w:t xml:space="preserve"> muy </w:t>
      </w:r>
      <w:r w:rsidR="003523B1" w:rsidRPr="00094370">
        <w:t>beneficioso</w:t>
      </w:r>
      <w:r w:rsidR="00094370" w:rsidRPr="00094370">
        <w:t xml:space="preserve"> </w:t>
      </w:r>
      <w:r w:rsidR="003523B1">
        <w:t xml:space="preserve">para los agentes </w:t>
      </w:r>
      <w:r w:rsidR="00094370" w:rsidRPr="00094370">
        <w:t>ir ade</w:t>
      </w:r>
      <w:r w:rsidR="00EF599D">
        <w:t>lantando el entendimiento de cuá</w:t>
      </w:r>
      <w:r w:rsidR="00094370" w:rsidRPr="00094370">
        <w:t xml:space="preserve">les podrían </w:t>
      </w:r>
      <w:r w:rsidR="00D96C28">
        <w:t xml:space="preserve">ser los </w:t>
      </w:r>
      <w:r w:rsidR="00094370">
        <w:t xml:space="preserve">cambios que se </w:t>
      </w:r>
      <w:r w:rsidR="00D96C28">
        <w:t>originarían</w:t>
      </w:r>
      <w:r w:rsidR="00094370">
        <w:t xml:space="preserve"> producto de la </w:t>
      </w:r>
      <w:r w:rsidR="00985CF5">
        <w:t>internacionalización</w:t>
      </w:r>
      <w:r w:rsidR="00094370">
        <w:t xml:space="preserve"> del </w:t>
      </w:r>
      <w:r w:rsidR="007A66B2">
        <w:t>peso.</w:t>
      </w:r>
    </w:p>
    <w:p w:rsidR="007125FC" w:rsidRPr="00094370" w:rsidRDefault="00E41B01" w:rsidP="008D0A20">
      <w:pPr>
        <w:jc w:val="both"/>
      </w:pPr>
      <w:r w:rsidRPr="00094370">
        <w:lastRenderedPageBreak/>
        <w:t xml:space="preserve">Con todo, </w:t>
      </w:r>
      <w:r w:rsidR="00A21161">
        <w:t xml:space="preserve">los miembros del </w:t>
      </w:r>
      <w:r w:rsidR="00985CF5">
        <w:t>C</w:t>
      </w:r>
      <w:r w:rsidR="0036528A" w:rsidRPr="00094370">
        <w:t>omité acuerdan la creación de u</w:t>
      </w:r>
      <w:r w:rsidR="007125FC" w:rsidRPr="00094370">
        <w:t>na mesa de trabajo con el fin de compilar las distin</w:t>
      </w:r>
      <w:r w:rsidR="00094370" w:rsidRPr="00094370">
        <w:t>tas restricciones regulatorias</w:t>
      </w:r>
      <w:r w:rsidR="00985CF5">
        <w:t xml:space="preserve"> (si la hubiera)</w:t>
      </w:r>
      <w:r w:rsidR="00094370" w:rsidRPr="00094370">
        <w:t xml:space="preserve">, operativas y financieras </w:t>
      </w:r>
      <w:r w:rsidR="007125FC" w:rsidRPr="00094370">
        <w:t>de cada uno de los participantes</w:t>
      </w:r>
      <w:r w:rsidR="00094370" w:rsidRPr="00094370">
        <w:t xml:space="preserve"> e industrias</w:t>
      </w:r>
      <w:r w:rsidR="007125FC" w:rsidRPr="00094370">
        <w:t xml:space="preserve"> del mercado para poder entender los puntos</w:t>
      </w:r>
      <w:r w:rsidR="00D96C28">
        <w:t xml:space="preserve"> de</w:t>
      </w:r>
      <w:r w:rsidR="007125FC" w:rsidRPr="00094370">
        <w:t xml:space="preserve"> </w:t>
      </w:r>
      <w:r w:rsidR="00094370" w:rsidRPr="00094370">
        <w:t>fricción.</w:t>
      </w:r>
    </w:p>
    <w:p w:rsidR="003523B1" w:rsidRDefault="003523B1">
      <w:pPr>
        <w:rPr>
          <w:b/>
          <w:bCs/>
        </w:rPr>
      </w:pPr>
    </w:p>
    <w:p w:rsidR="003523B1" w:rsidRDefault="003523B1">
      <w:pPr>
        <w:rPr>
          <w:b/>
          <w:bCs/>
        </w:rPr>
      </w:pPr>
    </w:p>
    <w:p w:rsidR="003523B1" w:rsidRDefault="003523B1">
      <w:pPr>
        <w:rPr>
          <w:b/>
          <w:bCs/>
        </w:rPr>
      </w:pPr>
    </w:p>
    <w:p w:rsidR="00697F7E" w:rsidRDefault="00697F7E">
      <w:pPr>
        <w:rPr>
          <w:b/>
          <w:bCs/>
        </w:rPr>
      </w:pPr>
    </w:p>
    <w:tbl>
      <w:tblPr>
        <w:tblW w:w="7160" w:type="dxa"/>
        <w:tblCellMar>
          <w:left w:w="70" w:type="dxa"/>
          <w:right w:w="70" w:type="dxa"/>
        </w:tblCellMar>
        <w:tblLook w:val="04A0" w:firstRow="1" w:lastRow="0" w:firstColumn="1" w:lastColumn="0" w:noHBand="0" w:noVBand="1"/>
      </w:tblPr>
      <w:tblGrid>
        <w:gridCol w:w="3580"/>
        <w:gridCol w:w="3580"/>
      </w:tblGrid>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b/>
                <w:bCs/>
                <w:color w:val="000000"/>
                <w:lang w:eastAsia="es-CL"/>
              </w:rPr>
            </w:pPr>
            <w:r w:rsidRPr="003523B1">
              <w:rPr>
                <w:rFonts w:ascii="Calibri" w:eastAsia="Times New Roman" w:hAnsi="Calibri" w:cs="Calibri"/>
                <w:b/>
                <w:bCs/>
                <w:color w:val="000000"/>
                <w:lang w:eastAsia="es-CL"/>
              </w:rPr>
              <w:t xml:space="preserve">Organización </w:t>
            </w:r>
          </w:p>
        </w:tc>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b/>
                <w:bCs/>
                <w:color w:val="000000"/>
                <w:lang w:eastAsia="es-CL"/>
              </w:rPr>
            </w:pPr>
            <w:r w:rsidRPr="003523B1">
              <w:rPr>
                <w:rFonts w:ascii="Calibri" w:eastAsia="Times New Roman" w:hAnsi="Calibri" w:cs="Calibri"/>
                <w:b/>
                <w:bCs/>
                <w:color w:val="000000"/>
                <w:lang w:eastAsia="es-CL"/>
              </w:rPr>
              <w:t>Participante</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AAFM</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Juan Pablo Lira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ABIF</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Matías Bernier</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ACAFI</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Pilar Concha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AFP Capital</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Francisco Guzmán</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 xml:space="preserve">AFP </w:t>
            </w:r>
            <w:proofErr w:type="spellStart"/>
            <w:r w:rsidRPr="003523B1">
              <w:rPr>
                <w:rFonts w:ascii="Calibri" w:eastAsia="Times New Roman" w:hAnsi="Calibri" w:cs="Calibri"/>
                <w:color w:val="000000"/>
                <w:lang w:eastAsia="es-CL"/>
              </w:rPr>
              <w:t>Cuprum</w:t>
            </w:r>
            <w:proofErr w:type="spellEnd"/>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Sergio Rodriguez</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 xml:space="preserve">AFP </w:t>
            </w:r>
            <w:proofErr w:type="spellStart"/>
            <w:r w:rsidRPr="003523B1">
              <w:rPr>
                <w:rFonts w:ascii="Calibri" w:eastAsia="Times New Roman" w:hAnsi="Calibri" w:cs="Calibri"/>
                <w:color w:val="000000"/>
                <w:lang w:eastAsia="es-CL"/>
              </w:rPr>
              <w:t>Habitat</w:t>
            </w:r>
            <w:proofErr w:type="spellEnd"/>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Carolina Mery</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AFP Modelo</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Andrés Flisfisch</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AFP Provida</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Cristóbal Torres</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AFP Provida</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Jorge Urzúa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AGF Itaú</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Juan Pablo Araujo</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AGF Larraín Vial</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Javier Marshall</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Consorcio</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Mara Forer</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Banco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Andrés Correa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Banco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Stephane Matias</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de Crédito e Inversiones</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Juan Pablo Risco</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Estado</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Gonzalo Kiessling</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Banco Estado</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Andrés Muñoz</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 xml:space="preserve">Banco </w:t>
            </w:r>
            <w:proofErr w:type="spellStart"/>
            <w:r w:rsidRPr="003523B1">
              <w:rPr>
                <w:rFonts w:ascii="Calibri" w:eastAsia="Times New Roman" w:hAnsi="Calibri" w:cs="Calibri"/>
                <w:color w:val="000000"/>
                <w:lang w:eastAsia="es-CL"/>
              </w:rPr>
              <w:t>Itaú</w:t>
            </w:r>
            <w:proofErr w:type="spellEnd"/>
            <w:r w:rsidRPr="003523B1">
              <w:rPr>
                <w:rFonts w:ascii="Calibri" w:eastAsia="Times New Roman" w:hAnsi="Calibri" w:cs="Calibri"/>
                <w:color w:val="000000"/>
                <w:lang w:eastAsia="es-CL"/>
              </w:rPr>
              <w:t xml:space="preserve"> </w:t>
            </w:r>
            <w:proofErr w:type="spellStart"/>
            <w:r w:rsidRPr="003523B1">
              <w:rPr>
                <w:rFonts w:ascii="Calibri" w:eastAsia="Times New Roman" w:hAnsi="Calibri" w:cs="Calibri"/>
                <w:color w:val="000000"/>
                <w:lang w:eastAsia="es-CL"/>
              </w:rPr>
              <w:t>Corpbanca</w:t>
            </w:r>
            <w:proofErr w:type="spellEnd"/>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Alejandro Teuber</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 xml:space="preserve">Banco </w:t>
            </w:r>
            <w:proofErr w:type="spellStart"/>
            <w:r w:rsidRPr="003523B1">
              <w:rPr>
                <w:rFonts w:ascii="Calibri" w:eastAsia="Times New Roman" w:hAnsi="Calibri" w:cs="Calibri"/>
                <w:color w:val="000000"/>
                <w:lang w:eastAsia="es-CL"/>
              </w:rPr>
              <w:t>Itaú-Corpbanca</w:t>
            </w:r>
            <w:proofErr w:type="spellEnd"/>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Tomás Salgado</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JP Morgan</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Jorge Hayler</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JP Morgan</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Nicolás Valderrama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Santander</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Andrés Trautmann</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Banco Santander</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Alejandro Araya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Scotiabank</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 xml:space="preserve">Álvaro </w:t>
            </w:r>
            <w:proofErr w:type="spellStart"/>
            <w:r w:rsidRPr="003523B1">
              <w:rPr>
                <w:rFonts w:ascii="Calibri" w:eastAsia="Times New Roman" w:hAnsi="Calibri" w:cs="Calibri"/>
                <w:color w:val="000000"/>
                <w:lang w:eastAsia="es-CL"/>
              </w:rPr>
              <w:t>Ramirez</w:t>
            </w:r>
            <w:proofErr w:type="spellEnd"/>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Scotiabank</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Aitor Aldunate</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lastRenderedPageBreak/>
              <w:t>Banco Scotiabank</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 xml:space="preserve">Marcelo </w:t>
            </w:r>
            <w:proofErr w:type="spellStart"/>
            <w:r w:rsidRPr="003523B1">
              <w:rPr>
                <w:rFonts w:ascii="Calibri" w:eastAsia="Times New Roman" w:hAnsi="Calibri" w:cs="Calibri"/>
                <w:color w:val="000000"/>
                <w:lang w:eastAsia="es-CL"/>
              </w:rPr>
              <w:t>Zuñiga</w:t>
            </w:r>
            <w:proofErr w:type="spellEnd"/>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Security</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Sergio Bonilla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Coopeuch</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Pedro Murua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161B4B">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Coop</w:t>
            </w:r>
            <w:r w:rsidR="00161B4B">
              <w:rPr>
                <w:rFonts w:ascii="Calibri" w:eastAsia="Times New Roman" w:hAnsi="Calibri" w:cs="Calibri"/>
                <w:color w:val="000000"/>
                <w:lang w:eastAsia="es-CL"/>
              </w:rPr>
              <w:t>era</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Pedro Lagos</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CSV Chilena Consolidada</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Roger Mogrovejo</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CSV Consorcio</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Andrea Godoy</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proofErr w:type="spellStart"/>
            <w:r w:rsidRPr="003523B1">
              <w:rPr>
                <w:rFonts w:ascii="Calibri" w:eastAsia="Times New Roman" w:hAnsi="Calibri" w:cs="Calibri"/>
                <w:color w:val="000000"/>
                <w:lang w:val="en-US" w:eastAsia="es-CL"/>
              </w:rPr>
              <w:t>Moneda</w:t>
            </w:r>
            <w:proofErr w:type="spellEnd"/>
            <w:r w:rsidRPr="003523B1">
              <w:rPr>
                <w:rFonts w:ascii="Calibri" w:eastAsia="Times New Roman" w:hAnsi="Calibri" w:cs="Calibri"/>
                <w:color w:val="000000"/>
                <w:lang w:val="en-US" w:eastAsia="es-CL"/>
              </w:rPr>
              <w:t xml:space="preserve"> Asset Management</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Ezequiel Camus</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Beltrán de Ramón</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Felipe Musa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Andrés Söchting</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Carmen Gloria Escobar</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Catalina Estefó</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Diego Gianelli</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Isidora Barros</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Jaime Troncoso</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José Miguel Villena</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Leonardo Avendaño</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Paulina Rodriguez</w:t>
            </w:r>
          </w:p>
        </w:tc>
      </w:tr>
      <w:tr w:rsidR="003523B1" w:rsidRPr="003523B1" w:rsidTr="003523B1">
        <w:trPr>
          <w:trHeight w:val="288"/>
        </w:trPr>
        <w:tc>
          <w:tcPr>
            <w:tcW w:w="3580" w:type="dxa"/>
            <w:tcBorders>
              <w:top w:val="nil"/>
              <w:left w:val="nil"/>
              <w:bottom w:val="nil"/>
              <w:right w:val="nil"/>
            </w:tcBorders>
            <w:shd w:val="clear" w:color="auto" w:fill="auto"/>
            <w:vAlign w:val="center"/>
            <w:hideMark/>
          </w:tcPr>
          <w:p w:rsidR="003523B1" w:rsidRPr="003523B1" w:rsidRDefault="003523B1" w:rsidP="003523B1">
            <w:pPr>
              <w:spacing w:after="0" w:line="240" w:lineRule="auto"/>
              <w:jc w:val="both"/>
              <w:rPr>
                <w:rFonts w:ascii="Calibri" w:eastAsia="Times New Roman" w:hAnsi="Calibri" w:cs="Calibri"/>
                <w:color w:val="000000"/>
                <w:lang w:eastAsia="es-CL"/>
              </w:rPr>
            </w:pPr>
            <w:r w:rsidRPr="003523B1">
              <w:rPr>
                <w:rFonts w:ascii="Calibri" w:eastAsia="Times New Roman" w:hAnsi="Calibri" w:cs="Calibri"/>
                <w:color w:val="000000"/>
                <w:lang w:eastAsia="es-CL"/>
              </w:rPr>
              <w:t>Banco Central de Chile</w:t>
            </w:r>
          </w:p>
        </w:tc>
        <w:tc>
          <w:tcPr>
            <w:tcW w:w="3580" w:type="dxa"/>
            <w:tcBorders>
              <w:top w:val="nil"/>
              <w:left w:val="nil"/>
              <w:bottom w:val="nil"/>
              <w:right w:val="nil"/>
            </w:tcBorders>
            <w:shd w:val="clear" w:color="auto" w:fill="auto"/>
            <w:noWrap/>
            <w:vAlign w:val="center"/>
            <w:hideMark/>
          </w:tcPr>
          <w:p w:rsidR="003523B1" w:rsidRPr="003523B1" w:rsidRDefault="003523B1" w:rsidP="003523B1">
            <w:pPr>
              <w:spacing w:after="0" w:line="240" w:lineRule="auto"/>
              <w:rPr>
                <w:rFonts w:ascii="Calibri" w:eastAsia="Times New Roman" w:hAnsi="Calibri" w:cs="Calibri"/>
                <w:color w:val="000000"/>
                <w:lang w:eastAsia="es-CL"/>
              </w:rPr>
            </w:pPr>
            <w:r w:rsidRPr="003523B1">
              <w:rPr>
                <w:rFonts w:ascii="Calibri" w:eastAsia="Times New Roman" w:hAnsi="Calibri" w:cs="Calibri"/>
                <w:color w:val="000000"/>
                <w:lang w:eastAsia="es-CL"/>
              </w:rPr>
              <w:t>Rodrigo Lozano</w:t>
            </w:r>
          </w:p>
        </w:tc>
      </w:tr>
    </w:tbl>
    <w:p w:rsidR="00E41B01" w:rsidRPr="00094370" w:rsidRDefault="00E41B01" w:rsidP="00697F7E">
      <w:pPr>
        <w:rPr>
          <w:b/>
          <w:bCs/>
        </w:rPr>
      </w:pPr>
    </w:p>
    <w:sectPr w:rsidR="00E41B01" w:rsidRPr="000943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B9" w:rsidRDefault="009334B9" w:rsidP="008D0A20">
      <w:pPr>
        <w:spacing w:after="0" w:line="240" w:lineRule="auto"/>
      </w:pPr>
      <w:r>
        <w:separator/>
      </w:r>
    </w:p>
  </w:endnote>
  <w:endnote w:type="continuationSeparator" w:id="0">
    <w:p w:rsidR="009334B9" w:rsidRDefault="009334B9" w:rsidP="008D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B9" w:rsidRDefault="009334B9" w:rsidP="008D0A20">
      <w:pPr>
        <w:spacing w:after="0" w:line="240" w:lineRule="auto"/>
      </w:pPr>
      <w:r>
        <w:separator/>
      </w:r>
    </w:p>
  </w:footnote>
  <w:footnote w:type="continuationSeparator" w:id="0">
    <w:p w:rsidR="009334B9" w:rsidRDefault="009334B9" w:rsidP="008D0A20">
      <w:pPr>
        <w:spacing w:after="0" w:line="240" w:lineRule="auto"/>
      </w:pPr>
      <w:r>
        <w:continuationSeparator/>
      </w:r>
    </w:p>
  </w:footnote>
  <w:footnote w:id="1">
    <w:p w:rsidR="009334B9" w:rsidRPr="008D0A20" w:rsidRDefault="009334B9" w:rsidP="00A21161">
      <w:pPr>
        <w:pStyle w:val="Textonotapie"/>
        <w:jc w:val="both"/>
        <w:rPr>
          <w:lang w:val="es-ES"/>
        </w:rPr>
      </w:pPr>
      <w:r>
        <w:rPr>
          <w:rStyle w:val="Refdenotaalpie"/>
        </w:rPr>
        <w:footnoteRef/>
      </w:r>
      <w:r>
        <w:t xml:space="preserve"> </w:t>
      </w:r>
      <w:r w:rsidR="00697F7E" w:rsidRPr="00697F7E">
        <w:t xml:space="preserve">Esta Minuta resume las exposiciones y opiniones de los representantes de las entidades privadas que participan en el Comité de Mercados Nacionales (el Comité), siendo de exclusiva responsabilidad de quienes las emiten. El rol de los funcionarios del </w:t>
      </w:r>
      <w:proofErr w:type="spellStart"/>
      <w:r w:rsidR="00697F7E" w:rsidRPr="00697F7E">
        <w:t>BCCh</w:t>
      </w:r>
      <w:proofErr w:type="spellEnd"/>
      <w:r w:rsidR="00697F7E" w:rsidRPr="00697F7E">
        <w:t xml:space="preserve"> que asisten a las reuniones del Comité se limita a servir como facilitadores para la celebración de las mismas y la adopción de acuerdos entre los representantes</w:t>
      </w:r>
      <w:r w:rsidR="00697F7E">
        <w:t xml:space="preserve"> de las entidades privadas que </w:t>
      </w:r>
      <w:r w:rsidR="00697F7E" w:rsidRPr="00697F7E">
        <w:t xml:space="preserve">lo integran, por lo que las intervenciones que realicen los referidos funcionarios en este ámbito no anticipan la posición ni comprometen de manera alguna al Consejo del </w:t>
      </w:r>
      <w:proofErr w:type="spellStart"/>
      <w:r w:rsidR="00697F7E" w:rsidRPr="00697F7E">
        <w:t>BCCh</w:t>
      </w:r>
      <w:proofErr w:type="spellEnd"/>
      <w:r w:rsidR="00697F7E" w:rsidRPr="00697F7E">
        <w:t xml:space="preserve"> en relación a las materias y ac</w:t>
      </w:r>
      <w:r w:rsidR="00697F7E">
        <w:t>uerdos descritos en esta minuta</w:t>
      </w:r>
      <w:r w:rsidR="00697F7E" w:rsidRPr="00697F7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20"/>
    <w:rsid w:val="00057CDE"/>
    <w:rsid w:val="0007161C"/>
    <w:rsid w:val="00094370"/>
    <w:rsid w:val="001135E8"/>
    <w:rsid w:val="00161B4B"/>
    <w:rsid w:val="001A31C7"/>
    <w:rsid w:val="001A6CB8"/>
    <w:rsid w:val="001E02FD"/>
    <w:rsid w:val="001E2B70"/>
    <w:rsid w:val="001F40D6"/>
    <w:rsid w:val="00250499"/>
    <w:rsid w:val="00265688"/>
    <w:rsid w:val="00282D5B"/>
    <w:rsid w:val="002979C9"/>
    <w:rsid w:val="003523B1"/>
    <w:rsid w:val="0036528A"/>
    <w:rsid w:val="003800A9"/>
    <w:rsid w:val="0038787C"/>
    <w:rsid w:val="003C5E2E"/>
    <w:rsid w:val="003D4071"/>
    <w:rsid w:val="003D433F"/>
    <w:rsid w:val="003D73D7"/>
    <w:rsid w:val="003E77BB"/>
    <w:rsid w:val="003F1CAC"/>
    <w:rsid w:val="003F3397"/>
    <w:rsid w:val="00420C74"/>
    <w:rsid w:val="00430F05"/>
    <w:rsid w:val="0044723C"/>
    <w:rsid w:val="004607FE"/>
    <w:rsid w:val="00466CD3"/>
    <w:rsid w:val="00553537"/>
    <w:rsid w:val="0055654B"/>
    <w:rsid w:val="00557C6B"/>
    <w:rsid w:val="00565332"/>
    <w:rsid w:val="005A074A"/>
    <w:rsid w:val="005C6701"/>
    <w:rsid w:val="006055B8"/>
    <w:rsid w:val="006447E2"/>
    <w:rsid w:val="00671DD1"/>
    <w:rsid w:val="00686A3A"/>
    <w:rsid w:val="00697F7E"/>
    <w:rsid w:val="006B33A8"/>
    <w:rsid w:val="006B5BC1"/>
    <w:rsid w:val="007125FC"/>
    <w:rsid w:val="007A66B2"/>
    <w:rsid w:val="007A69D8"/>
    <w:rsid w:val="00821A71"/>
    <w:rsid w:val="00822233"/>
    <w:rsid w:val="0088644E"/>
    <w:rsid w:val="008A1AE5"/>
    <w:rsid w:val="008D0A20"/>
    <w:rsid w:val="00914521"/>
    <w:rsid w:val="00926800"/>
    <w:rsid w:val="009334B9"/>
    <w:rsid w:val="00942519"/>
    <w:rsid w:val="00962822"/>
    <w:rsid w:val="009644E8"/>
    <w:rsid w:val="00975E2E"/>
    <w:rsid w:val="00985CF5"/>
    <w:rsid w:val="009A755F"/>
    <w:rsid w:val="00A21161"/>
    <w:rsid w:val="00A2140B"/>
    <w:rsid w:val="00A41CF8"/>
    <w:rsid w:val="00A5143E"/>
    <w:rsid w:val="00A63722"/>
    <w:rsid w:val="00AA6CA2"/>
    <w:rsid w:val="00AC2156"/>
    <w:rsid w:val="00AC3070"/>
    <w:rsid w:val="00AD157D"/>
    <w:rsid w:val="00B04644"/>
    <w:rsid w:val="00B1114D"/>
    <w:rsid w:val="00B55D68"/>
    <w:rsid w:val="00B737C2"/>
    <w:rsid w:val="00BB6ED5"/>
    <w:rsid w:val="00C12A37"/>
    <w:rsid w:val="00C1591F"/>
    <w:rsid w:val="00CF62D9"/>
    <w:rsid w:val="00D041EF"/>
    <w:rsid w:val="00D12BA9"/>
    <w:rsid w:val="00D16E9C"/>
    <w:rsid w:val="00D22EBD"/>
    <w:rsid w:val="00D96C28"/>
    <w:rsid w:val="00DA2568"/>
    <w:rsid w:val="00DA5413"/>
    <w:rsid w:val="00DD7911"/>
    <w:rsid w:val="00E14D56"/>
    <w:rsid w:val="00E41703"/>
    <w:rsid w:val="00E41B01"/>
    <w:rsid w:val="00EB3E22"/>
    <w:rsid w:val="00EE419E"/>
    <w:rsid w:val="00EF1BE6"/>
    <w:rsid w:val="00EF599D"/>
    <w:rsid w:val="00F015CF"/>
    <w:rsid w:val="00F152F3"/>
    <w:rsid w:val="00F36EEC"/>
    <w:rsid w:val="00F511F0"/>
    <w:rsid w:val="00F612F0"/>
    <w:rsid w:val="00F90AFB"/>
    <w:rsid w:val="00F92A90"/>
    <w:rsid w:val="00FA0D19"/>
    <w:rsid w:val="00FD54E2"/>
    <w:rsid w:val="00FD555E"/>
    <w:rsid w:val="00FE47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90702FDA-18DA-45B0-BA9C-E2E156A7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D0A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0A20"/>
    <w:rPr>
      <w:sz w:val="20"/>
      <w:szCs w:val="20"/>
    </w:rPr>
  </w:style>
  <w:style w:type="character" w:styleId="Refdenotaalpie">
    <w:name w:val="footnote reference"/>
    <w:basedOn w:val="Fuentedeprrafopredeter"/>
    <w:uiPriority w:val="99"/>
    <w:semiHidden/>
    <w:unhideWhenUsed/>
    <w:rsid w:val="008D0A20"/>
    <w:rPr>
      <w:vertAlign w:val="superscript"/>
    </w:rPr>
  </w:style>
  <w:style w:type="table" w:styleId="Tablaconcuadrcula">
    <w:name w:val="Table Grid"/>
    <w:basedOn w:val="Tablanormal"/>
    <w:uiPriority w:val="39"/>
    <w:rsid w:val="00926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6E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EEC"/>
  </w:style>
  <w:style w:type="paragraph" w:styleId="Piedepgina">
    <w:name w:val="footer"/>
    <w:basedOn w:val="Normal"/>
    <w:link w:val="PiedepginaCar"/>
    <w:uiPriority w:val="99"/>
    <w:unhideWhenUsed/>
    <w:rsid w:val="00F36E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EEC"/>
  </w:style>
  <w:style w:type="paragraph" w:styleId="Textodeglobo">
    <w:name w:val="Balloon Text"/>
    <w:basedOn w:val="Normal"/>
    <w:link w:val="TextodegloboCar"/>
    <w:uiPriority w:val="99"/>
    <w:semiHidden/>
    <w:unhideWhenUsed/>
    <w:rsid w:val="008A1A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3136">
      <w:bodyDiv w:val="1"/>
      <w:marLeft w:val="0"/>
      <w:marRight w:val="0"/>
      <w:marTop w:val="0"/>
      <w:marBottom w:val="0"/>
      <w:divBdr>
        <w:top w:val="none" w:sz="0" w:space="0" w:color="auto"/>
        <w:left w:val="none" w:sz="0" w:space="0" w:color="auto"/>
        <w:bottom w:val="none" w:sz="0" w:space="0" w:color="auto"/>
        <w:right w:val="none" w:sz="0" w:space="0" w:color="auto"/>
      </w:divBdr>
    </w:div>
    <w:div w:id="21284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3C4D-4E19-464D-BF15-A7839C41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6207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Estefo Aroztegui</dc:creator>
  <cp:keywords/>
  <dc:description/>
  <cp:lastModifiedBy>Felipe Musa S</cp:lastModifiedBy>
  <cp:revision>3</cp:revision>
  <dcterms:created xsi:type="dcterms:W3CDTF">2020-11-27T19:55:00Z</dcterms:created>
  <dcterms:modified xsi:type="dcterms:W3CDTF">2020-11-27T19:55:00Z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2020-11-18T19:26:26Z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488a4ec8-3ef9-4c50-b07c-7d8569f1a9b3</vt:lpwstr>
  </property>
  <property fmtid="{D5CDD505-2E9C-101B-9397-08002B2CF9AE}" pid="8" name="MSIP_Label_6f509eeb-56d7-4078-8c25-542621925144_ContentBits">
    <vt:lpwstr>0</vt:lpwstr>
  </property>
</Properties>
</file>