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7F45E" w14:textId="3AC34C02" w:rsidR="00225211" w:rsidRDefault="00225211" w:rsidP="00225211">
      <w:pPr>
        <w:autoSpaceDE w:val="0"/>
        <w:autoSpaceDN w:val="0"/>
        <w:adjustRightInd w:val="0"/>
        <w:rPr>
          <w:rFonts w:cs="Arial"/>
          <w:szCs w:val="22"/>
          <w:lang w:val="pt-PT"/>
        </w:rPr>
      </w:pPr>
      <w:bookmarkStart w:id="0" w:name="_GoBack"/>
      <w:bookmarkEnd w:id="0"/>
    </w:p>
    <w:p w14:paraId="760D77B6" w14:textId="77777777" w:rsidR="00225211" w:rsidRPr="00500587" w:rsidRDefault="00225211" w:rsidP="00225211">
      <w:pPr>
        <w:autoSpaceDE w:val="0"/>
        <w:autoSpaceDN w:val="0"/>
        <w:adjustRightInd w:val="0"/>
        <w:rPr>
          <w:rFonts w:cs="Arial"/>
          <w:szCs w:val="22"/>
          <w:lang w:val="pt-PT"/>
        </w:rPr>
      </w:pPr>
    </w:p>
    <w:p w14:paraId="1BF67DA9" w14:textId="77777777" w:rsidR="00225211" w:rsidRPr="00500587" w:rsidRDefault="00225211" w:rsidP="00225211">
      <w:pPr>
        <w:autoSpaceDE w:val="0"/>
        <w:autoSpaceDN w:val="0"/>
        <w:adjustRightInd w:val="0"/>
        <w:jc w:val="center"/>
        <w:rPr>
          <w:rFonts w:cs="Arial"/>
          <w:b/>
          <w:szCs w:val="22"/>
          <w:lang w:val="pt-PT"/>
        </w:rPr>
      </w:pPr>
      <w:r w:rsidRPr="00500587">
        <w:rPr>
          <w:rFonts w:cs="Arial"/>
          <w:b/>
          <w:szCs w:val="22"/>
          <w:lang w:val="pt-PT"/>
        </w:rPr>
        <w:t>ANEXO N° 1</w:t>
      </w:r>
    </w:p>
    <w:p w14:paraId="5A3F891F" w14:textId="77777777" w:rsidR="00225211" w:rsidRPr="00500587" w:rsidRDefault="00225211" w:rsidP="00225211">
      <w:pPr>
        <w:autoSpaceDE w:val="0"/>
        <w:autoSpaceDN w:val="0"/>
        <w:adjustRightInd w:val="0"/>
        <w:rPr>
          <w:rFonts w:cs="Arial"/>
          <w:szCs w:val="22"/>
          <w:lang w:val="pt-PT"/>
        </w:rPr>
      </w:pPr>
    </w:p>
    <w:p w14:paraId="527C441A" w14:textId="77777777" w:rsidR="00225211" w:rsidRPr="00500587" w:rsidRDefault="00225211" w:rsidP="00225211">
      <w:pPr>
        <w:autoSpaceDE w:val="0"/>
        <w:autoSpaceDN w:val="0"/>
        <w:adjustRightInd w:val="0"/>
        <w:jc w:val="center"/>
        <w:rPr>
          <w:rFonts w:cs="Arial"/>
          <w:b/>
          <w:szCs w:val="22"/>
        </w:rPr>
      </w:pPr>
      <w:r w:rsidRPr="00500587">
        <w:rPr>
          <w:rFonts w:cs="Arial"/>
          <w:b/>
          <w:szCs w:val="22"/>
        </w:rPr>
        <w:t>INSTITUCIONES O AGENTES PARTICIPANTES DEL SISTEMA SOMA</w:t>
      </w:r>
    </w:p>
    <w:p w14:paraId="044D6B1F" w14:textId="77777777" w:rsidR="00225211" w:rsidRPr="00500587" w:rsidRDefault="00225211" w:rsidP="00225211">
      <w:pPr>
        <w:autoSpaceDE w:val="0"/>
        <w:autoSpaceDN w:val="0"/>
        <w:adjustRightInd w:val="0"/>
        <w:jc w:val="center"/>
        <w:rPr>
          <w:rFonts w:cs="Arial"/>
          <w:b/>
          <w:szCs w:val="22"/>
        </w:rPr>
      </w:pPr>
      <w:r w:rsidRPr="00500587">
        <w:rPr>
          <w:rFonts w:cs="Arial"/>
          <w:b/>
          <w:szCs w:val="22"/>
        </w:rPr>
        <w:t xml:space="preserve">QUE PUEDEN OPERAR EN EL </w:t>
      </w:r>
    </w:p>
    <w:p w14:paraId="2913374A" w14:textId="77777777" w:rsidR="00225211" w:rsidRPr="00500587" w:rsidRDefault="00225211" w:rsidP="00225211">
      <w:pPr>
        <w:autoSpaceDE w:val="0"/>
        <w:autoSpaceDN w:val="0"/>
        <w:adjustRightInd w:val="0"/>
        <w:jc w:val="center"/>
        <w:rPr>
          <w:rFonts w:cs="Arial"/>
          <w:b/>
          <w:szCs w:val="22"/>
        </w:rPr>
      </w:pPr>
      <w:r w:rsidRPr="00500587">
        <w:rPr>
          <w:rFonts w:cs="Arial"/>
          <w:b/>
          <w:szCs w:val="22"/>
        </w:rPr>
        <w:t>MERCADO ABIERTO DE OPERACIONES CC-VP DEL BANCO CENTRAL DE CHILE</w:t>
      </w:r>
    </w:p>
    <w:p w14:paraId="613CE01B" w14:textId="79C1B204" w:rsidR="00225211" w:rsidRDefault="00225211" w:rsidP="00225211">
      <w:pPr>
        <w:autoSpaceDE w:val="0"/>
        <w:autoSpaceDN w:val="0"/>
        <w:adjustRightInd w:val="0"/>
        <w:rPr>
          <w:rFonts w:cs="Arial"/>
          <w:szCs w:val="22"/>
        </w:rPr>
      </w:pPr>
    </w:p>
    <w:p w14:paraId="16D7465B" w14:textId="77777777" w:rsidR="00225211" w:rsidRPr="00500587" w:rsidRDefault="00225211" w:rsidP="00225211">
      <w:pPr>
        <w:autoSpaceDE w:val="0"/>
        <w:autoSpaceDN w:val="0"/>
        <w:adjustRightInd w:val="0"/>
        <w:rPr>
          <w:rFonts w:cs="Arial"/>
          <w:szCs w:val="22"/>
        </w:rPr>
      </w:pPr>
    </w:p>
    <w:p w14:paraId="776E5DEC" w14:textId="77777777" w:rsidR="00225211" w:rsidRPr="00500587" w:rsidRDefault="00225211" w:rsidP="00225211">
      <w:pPr>
        <w:autoSpaceDE w:val="0"/>
        <w:autoSpaceDN w:val="0"/>
        <w:adjustRightInd w:val="0"/>
        <w:rPr>
          <w:rFonts w:cs="Arial"/>
          <w:szCs w:val="22"/>
        </w:rPr>
      </w:pPr>
    </w:p>
    <w:p w14:paraId="60161913" w14:textId="77777777" w:rsidR="00225211" w:rsidRPr="00500587" w:rsidRDefault="00225211" w:rsidP="00225211">
      <w:pPr>
        <w:numPr>
          <w:ilvl w:val="0"/>
          <w:numId w:val="4"/>
        </w:numPr>
        <w:autoSpaceDE w:val="0"/>
        <w:autoSpaceDN w:val="0"/>
        <w:adjustRightInd w:val="0"/>
        <w:ind w:left="426" w:right="51" w:hanging="426"/>
        <w:jc w:val="both"/>
        <w:rPr>
          <w:rFonts w:cs="Arial"/>
          <w:szCs w:val="22"/>
        </w:rPr>
      </w:pPr>
      <w:r w:rsidRPr="00500587">
        <w:rPr>
          <w:rFonts w:cs="Arial"/>
          <w:szCs w:val="22"/>
        </w:rPr>
        <w:t>Empresas Bancarias.</w:t>
      </w:r>
    </w:p>
    <w:p w14:paraId="4ACCCEEF" w14:textId="77777777" w:rsidR="00225211" w:rsidRPr="00500587" w:rsidRDefault="00225211" w:rsidP="00225211">
      <w:pPr>
        <w:autoSpaceDE w:val="0"/>
        <w:autoSpaceDN w:val="0"/>
        <w:adjustRightInd w:val="0"/>
        <w:ind w:left="426" w:right="51" w:hanging="426"/>
        <w:jc w:val="both"/>
        <w:rPr>
          <w:rFonts w:cs="Arial"/>
          <w:szCs w:val="22"/>
        </w:rPr>
      </w:pPr>
    </w:p>
    <w:p w14:paraId="2E2B8948" w14:textId="77777777" w:rsidR="00225211" w:rsidRPr="00500587" w:rsidRDefault="00225211" w:rsidP="00225211">
      <w:pPr>
        <w:numPr>
          <w:ilvl w:val="0"/>
          <w:numId w:val="4"/>
        </w:numPr>
        <w:autoSpaceDE w:val="0"/>
        <w:autoSpaceDN w:val="0"/>
        <w:adjustRightInd w:val="0"/>
        <w:ind w:left="426" w:right="51" w:hanging="426"/>
        <w:jc w:val="both"/>
        <w:rPr>
          <w:rFonts w:cs="Arial"/>
          <w:szCs w:val="22"/>
        </w:rPr>
      </w:pPr>
      <w:r w:rsidRPr="00500587">
        <w:rPr>
          <w:rFonts w:cs="Arial"/>
          <w:szCs w:val="22"/>
        </w:rPr>
        <w:t xml:space="preserve">Administradoras de Fondos de Pensiones a que se refiere el D.L. </w:t>
      </w:r>
      <w:proofErr w:type="spellStart"/>
      <w:r w:rsidRPr="00500587">
        <w:rPr>
          <w:rFonts w:cs="Arial"/>
          <w:szCs w:val="22"/>
        </w:rPr>
        <w:t>N°</w:t>
      </w:r>
      <w:proofErr w:type="spellEnd"/>
      <w:r w:rsidRPr="00500587">
        <w:rPr>
          <w:rFonts w:cs="Arial"/>
          <w:szCs w:val="22"/>
        </w:rPr>
        <w:t xml:space="preserve"> 3.500, de 1980; y Sociedad Administradora de Fondos de Cesantía establecida por la Ley </w:t>
      </w:r>
      <w:proofErr w:type="spellStart"/>
      <w:r w:rsidRPr="00500587">
        <w:rPr>
          <w:rFonts w:cs="Arial"/>
          <w:szCs w:val="22"/>
        </w:rPr>
        <w:t>N°</w:t>
      </w:r>
      <w:proofErr w:type="spellEnd"/>
      <w:r w:rsidRPr="00500587">
        <w:rPr>
          <w:rFonts w:cs="Arial"/>
          <w:szCs w:val="22"/>
        </w:rPr>
        <w:t xml:space="preserve"> 19.728.</w:t>
      </w:r>
    </w:p>
    <w:p w14:paraId="573E5C8E" w14:textId="77777777" w:rsidR="00225211" w:rsidRPr="00500587" w:rsidRDefault="00225211" w:rsidP="00225211">
      <w:pPr>
        <w:autoSpaceDE w:val="0"/>
        <w:autoSpaceDN w:val="0"/>
        <w:adjustRightInd w:val="0"/>
        <w:ind w:left="426" w:right="51" w:hanging="426"/>
        <w:jc w:val="both"/>
        <w:rPr>
          <w:rFonts w:cs="Arial"/>
          <w:szCs w:val="22"/>
        </w:rPr>
      </w:pPr>
    </w:p>
    <w:p w14:paraId="0E71A5C8" w14:textId="77777777" w:rsidR="00225211" w:rsidRPr="00500587" w:rsidRDefault="00225211" w:rsidP="00225211">
      <w:pPr>
        <w:numPr>
          <w:ilvl w:val="0"/>
          <w:numId w:val="4"/>
        </w:numPr>
        <w:autoSpaceDE w:val="0"/>
        <w:autoSpaceDN w:val="0"/>
        <w:adjustRightInd w:val="0"/>
        <w:ind w:left="426" w:right="51" w:hanging="426"/>
        <w:jc w:val="both"/>
        <w:rPr>
          <w:rFonts w:cs="Arial"/>
          <w:szCs w:val="22"/>
        </w:rPr>
      </w:pPr>
      <w:r w:rsidRPr="00500587">
        <w:rPr>
          <w:rFonts w:cs="Arial"/>
          <w:szCs w:val="22"/>
        </w:rPr>
        <w:t>Compañías de Seguros.</w:t>
      </w:r>
    </w:p>
    <w:p w14:paraId="38F1963D" w14:textId="77777777" w:rsidR="00225211" w:rsidRPr="00500587" w:rsidRDefault="00225211" w:rsidP="00225211">
      <w:pPr>
        <w:ind w:left="426" w:hanging="426"/>
        <w:rPr>
          <w:rFonts w:cs="Arial"/>
          <w:szCs w:val="22"/>
        </w:rPr>
      </w:pPr>
    </w:p>
    <w:p w14:paraId="271D7EEC" w14:textId="77777777" w:rsidR="00225211" w:rsidRPr="00500587" w:rsidRDefault="00225211" w:rsidP="00225211">
      <w:pPr>
        <w:numPr>
          <w:ilvl w:val="0"/>
          <w:numId w:val="4"/>
        </w:numPr>
        <w:autoSpaceDE w:val="0"/>
        <w:autoSpaceDN w:val="0"/>
        <w:adjustRightInd w:val="0"/>
        <w:ind w:left="426" w:right="51" w:hanging="426"/>
        <w:jc w:val="both"/>
        <w:rPr>
          <w:rFonts w:cs="Arial"/>
          <w:szCs w:val="22"/>
        </w:rPr>
      </w:pPr>
      <w:r w:rsidRPr="00500587">
        <w:rPr>
          <w:rFonts w:cs="Arial"/>
          <w:szCs w:val="22"/>
        </w:rPr>
        <w:t xml:space="preserve">Sociedades Administradoras regidas por la Ley </w:t>
      </w:r>
      <w:proofErr w:type="spellStart"/>
      <w:r w:rsidRPr="00500587">
        <w:rPr>
          <w:rFonts w:cs="Arial"/>
          <w:szCs w:val="22"/>
        </w:rPr>
        <w:t>N°</w:t>
      </w:r>
      <w:proofErr w:type="spellEnd"/>
      <w:r w:rsidRPr="00500587">
        <w:rPr>
          <w:rFonts w:cs="Arial"/>
          <w:szCs w:val="22"/>
        </w:rPr>
        <w:t xml:space="preserve"> 20.712 que administren uno o más Fondos Mutuos, actuando en representación de estos últimos, incluyendo las Administradoras de Fondos Mutuos que deberán adecuarse a la referida legislación conforme a su Artículo 2° Transitorio.</w:t>
      </w:r>
    </w:p>
    <w:p w14:paraId="319AF8A1" w14:textId="77777777" w:rsidR="00225211" w:rsidRPr="00500587" w:rsidRDefault="00225211" w:rsidP="00225211">
      <w:pPr>
        <w:ind w:left="426" w:hanging="426"/>
        <w:rPr>
          <w:rFonts w:cs="Arial"/>
          <w:szCs w:val="22"/>
        </w:rPr>
      </w:pPr>
    </w:p>
    <w:p w14:paraId="21410A9D" w14:textId="77777777" w:rsidR="00225211" w:rsidRPr="00500587" w:rsidRDefault="00225211" w:rsidP="00225211">
      <w:pPr>
        <w:numPr>
          <w:ilvl w:val="0"/>
          <w:numId w:val="4"/>
        </w:numPr>
        <w:autoSpaceDE w:val="0"/>
        <w:autoSpaceDN w:val="0"/>
        <w:adjustRightInd w:val="0"/>
        <w:ind w:left="426" w:right="51" w:hanging="426"/>
        <w:jc w:val="both"/>
        <w:rPr>
          <w:rFonts w:cs="Arial"/>
          <w:szCs w:val="22"/>
        </w:rPr>
      </w:pPr>
      <w:r w:rsidRPr="00500587">
        <w:rPr>
          <w:rFonts w:cs="Arial"/>
          <w:szCs w:val="22"/>
        </w:rPr>
        <w:t xml:space="preserve">Corredores de Bolsa y Agentes de Valores de que trata la Ley </w:t>
      </w:r>
      <w:proofErr w:type="spellStart"/>
      <w:r w:rsidRPr="00500587">
        <w:rPr>
          <w:rFonts w:cs="Arial"/>
          <w:szCs w:val="22"/>
        </w:rPr>
        <w:t>N°</w:t>
      </w:r>
      <w:proofErr w:type="spellEnd"/>
      <w:r w:rsidRPr="00500587">
        <w:rPr>
          <w:rFonts w:cs="Arial"/>
          <w:szCs w:val="22"/>
        </w:rPr>
        <w:t xml:space="preserve"> 18.045 de Mercado de Valores.</w:t>
      </w:r>
    </w:p>
    <w:p w14:paraId="5740DF82" w14:textId="77777777" w:rsidR="00225211" w:rsidRPr="00500587" w:rsidRDefault="00225211" w:rsidP="00225211">
      <w:pPr>
        <w:autoSpaceDE w:val="0"/>
        <w:autoSpaceDN w:val="0"/>
        <w:adjustRightInd w:val="0"/>
        <w:rPr>
          <w:rFonts w:cs="Arial"/>
          <w:szCs w:val="22"/>
          <w:lang w:val="pt-PT"/>
        </w:rPr>
      </w:pPr>
    </w:p>
    <w:p w14:paraId="6ECB5A16" w14:textId="77777777" w:rsidR="00225211" w:rsidRPr="00500587" w:rsidRDefault="00225211" w:rsidP="00225211">
      <w:pPr>
        <w:autoSpaceDE w:val="0"/>
        <w:autoSpaceDN w:val="0"/>
        <w:adjustRightInd w:val="0"/>
        <w:rPr>
          <w:rFonts w:cs="Arial"/>
          <w:szCs w:val="22"/>
          <w:lang w:val="pt-PT"/>
        </w:rPr>
      </w:pPr>
    </w:p>
    <w:p w14:paraId="0A4BF25C" w14:textId="77777777" w:rsidR="00225211" w:rsidRPr="00500587" w:rsidRDefault="00225211" w:rsidP="00225211">
      <w:pPr>
        <w:autoSpaceDE w:val="0"/>
        <w:autoSpaceDN w:val="0"/>
        <w:adjustRightInd w:val="0"/>
        <w:rPr>
          <w:rFonts w:cs="Arial"/>
          <w:szCs w:val="22"/>
          <w:lang w:val="pt-PT"/>
        </w:rPr>
      </w:pPr>
      <w:r w:rsidRPr="00500587">
        <w:rPr>
          <w:rFonts w:cs="Arial"/>
          <w:szCs w:val="22"/>
          <w:lang w:val="pt-PT"/>
        </w:rPr>
        <w:br w:type="page"/>
      </w:r>
    </w:p>
    <w:p w14:paraId="1E9D6A59" w14:textId="77777777" w:rsidR="00225211" w:rsidRPr="00500587" w:rsidRDefault="00225211" w:rsidP="00225211">
      <w:pPr>
        <w:autoSpaceDE w:val="0"/>
        <w:autoSpaceDN w:val="0"/>
        <w:adjustRightInd w:val="0"/>
        <w:rPr>
          <w:rFonts w:cs="Arial"/>
          <w:szCs w:val="22"/>
          <w:lang w:val="pt-PT"/>
        </w:rPr>
      </w:pPr>
    </w:p>
    <w:p w14:paraId="18059148" w14:textId="77777777" w:rsidR="00225211" w:rsidRPr="00500587" w:rsidRDefault="00225211" w:rsidP="00225211">
      <w:pPr>
        <w:autoSpaceDE w:val="0"/>
        <w:autoSpaceDN w:val="0"/>
        <w:adjustRightInd w:val="0"/>
        <w:jc w:val="center"/>
        <w:rPr>
          <w:rFonts w:cs="Arial"/>
          <w:b/>
          <w:szCs w:val="22"/>
          <w:lang w:val="pt-PT"/>
        </w:rPr>
      </w:pPr>
      <w:r w:rsidRPr="00500587">
        <w:rPr>
          <w:rFonts w:cs="Arial"/>
          <w:b/>
          <w:szCs w:val="22"/>
          <w:lang w:val="pt-PT"/>
        </w:rPr>
        <w:t>ANEXO N° 2</w:t>
      </w:r>
    </w:p>
    <w:p w14:paraId="28A32C6F" w14:textId="77777777" w:rsidR="00225211" w:rsidRPr="00500587" w:rsidRDefault="00225211" w:rsidP="00225211">
      <w:pPr>
        <w:autoSpaceDE w:val="0"/>
        <w:autoSpaceDN w:val="0"/>
        <w:adjustRightInd w:val="0"/>
        <w:rPr>
          <w:rFonts w:cs="Arial"/>
          <w:b/>
          <w:szCs w:val="22"/>
          <w:lang w:val="pt-PT"/>
        </w:rPr>
      </w:pPr>
    </w:p>
    <w:p w14:paraId="16EC576C" w14:textId="77777777" w:rsidR="00225211" w:rsidRPr="00500587" w:rsidRDefault="00225211" w:rsidP="00225211">
      <w:pPr>
        <w:autoSpaceDE w:val="0"/>
        <w:autoSpaceDN w:val="0"/>
        <w:adjustRightInd w:val="0"/>
        <w:jc w:val="center"/>
        <w:rPr>
          <w:rFonts w:cs="Arial"/>
          <w:b/>
          <w:szCs w:val="22"/>
          <w:lang w:val="pt-PT"/>
        </w:rPr>
      </w:pPr>
      <w:r w:rsidRPr="00500587">
        <w:rPr>
          <w:rFonts w:cs="Arial"/>
          <w:b/>
          <w:szCs w:val="22"/>
          <w:lang w:val="pt-PT"/>
        </w:rPr>
        <w:t>TÍTULOS ELEGIBLES</w:t>
      </w:r>
    </w:p>
    <w:p w14:paraId="03E28D73" w14:textId="77777777" w:rsidR="00225211" w:rsidRPr="00500587" w:rsidRDefault="00225211" w:rsidP="00225211">
      <w:pPr>
        <w:autoSpaceDE w:val="0"/>
        <w:autoSpaceDN w:val="0"/>
        <w:adjustRightInd w:val="0"/>
        <w:rPr>
          <w:rFonts w:cs="Arial"/>
          <w:szCs w:val="22"/>
        </w:rPr>
      </w:pPr>
    </w:p>
    <w:p w14:paraId="255925A2" w14:textId="77777777" w:rsidR="00225211" w:rsidRPr="00500587" w:rsidRDefault="00225211" w:rsidP="00225211">
      <w:pPr>
        <w:autoSpaceDE w:val="0"/>
        <w:autoSpaceDN w:val="0"/>
        <w:adjustRightInd w:val="0"/>
        <w:rPr>
          <w:rFonts w:cs="Arial"/>
          <w:szCs w:val="22"/>
        </w:rPr>
      </w:pPr>
    </w:p>
    <w:p w14:paraId="68057BCF" w14:textId="77777777" w:rsidR="00225211" w:rsidRPr="00500587" w:rsidRDefault="00225211" w:rsidP="00225211">
      <w:pPr>
        <w:autoSpaceDE w:val="0"/>
        <w:autoSpaceDN w:val="0"/>
        <w:adjustRightInd w:val="0"/>
        <w:ind w:left="426" w:hanging="426"/>
        <w:jc w:val="both"/>
        <w:rPr>
          <w:rFonts w:cs="Arial"/>
          <w:szCs w:val="22"/>
        </w:rPr>
      </w:pPr>
    </w:p>
    <w:p w14:paraId="356BAABD" w14:textId="77777777" w:rsidR="00225211" w:rsidRPr="00500587" w:rsidRDefault="00225211" w:rsidP="00225211">
      <w:pPr>
        <w:autoSpaceDE w:val="0"/>
        <w:autoSpaceDN w:val="0"/>
        <w:adjustRightInd w:val="0"/>
        <w:jc w:val="both"/>
        <w:rPr>
          <w:rFonts w:cs="Arial"/>
          <w:szCs w:val="22"/>
        </w:rPr>
      </w:pPr>
      <w:r w:rsidRPr="00500587">
        <w:rPr>
          <w:rFonts w:cs="Arial"/>
          <w:szCs w:val="22"/>
        </w:rPr>
        <w:t>Títulos de crédito de renta fija emitidos por empresas bancarias consistentes en:</w:t>
      </w:r>
    </w:p>
    <w:p w14:paraId="7E81D5C5" w14:textId="77777777" w:rsidR="00225211" w:rsidRPr="00500587" w:rsidRDefault="00225211" w:rsidP="00225211">
      <w:pPr>
        <w:autoSpaceDE w:val="0"/>
        <w:autoSpaceDN w:val="0"/>
        <w:adjustRightInd w:val="0"/>
        <w:jc w:val="both"/>
        <w:rPr>
          <w:rFonts w:cs="Arial"/>
          <w:szCs w:val="22"/>
        </w:rPr>
      </w:pPr>
    </w:p>
    <w:p w14:paraId="55F2E0D9" w14:textId="77777777" w:rsidR="00225211" w:rsidRPr="00500587" w:rsidRDefault="00225211" w:rsidP="00225211">
      <w:pPr>
        <w:autoSpaceDE w:val="0"/>
        <w:autoSpaceDN w:val="0"/>
        <w:adjustRightInd w:val="0"/>
        <w:ind w:left="709" w:hanging="283"/>
        <w:jc w:val="both"/>
        <w:rPr>
          <w:rFonts w:cs="Arial"/>
          <w:szCs w:val="22"/>
        </w:rPr>
      </w:pPr>
      <w:r w:rsidRPr="00500587">
        <w:rPr>
          <w:rFonts w:cs="Arial"/>
          <w:szCs w:val="22"/>
        </w:rPr>
        <w:t>1.</w:t>
      </w:r>
      <w:r w:rsidRPr="00500587">
        <w:rPr>
          <w:rFonts w:cs="Arial"/>
          <w:szCs w:val="22"/>
        </w:rPr>
        <w:tab/>
        <w:t>Letras de crédito cuyo emisor sea una empresa bancaria distinta del Participante (LC), de conformidad con el Título XIII de la Ley General de Bancos.</w:t>
      </w:r>
    </w:p>
    <w:p w14:paraId="61A8CF74" w14:textId="77777777" w:rsidR="00225211" w:rsidRPr="00500587" w:rsidRDefault="00225211" w:rsidP="00225211">
      <w:pPr>
        <w:autoSpaceDE w:val="0"/>
        <w:autoSpaceDN w:val="0"/>
        <w:adjustRightInd w:val="0"/>
        <w:jc w:val="both"/>
        <w:rPr>
          <w:rFonts w:cs="Arial"/>
          <w:szCs w:val="22"/>
        </w:rPr>
      </w:pPr>
    </w:p>
    <w:p w14:paraId="242B8130" w14:textId="77777777" w:rsidR="00225211" w:rsidRPr="00500587" w:rsidRDefault="00225211" w:rsidP="00225211">
      <w:pPr>
        <w:autoSpaceDE w:val="0"/>
        <w:autoSpaceDN w:val="0"/>
        <w:adjustRightInd w:val="0"/>
        <w:ind w:left="709" w:hanging="283"/>
        <w:jc w:val="both"/>
        <w:rPr>
          <w:rFonts w:cs="Arial"/>
          <w:szCs w:val="22"/>
        </w:rPr>
      </w:pPr>
      <w:r w:rsidRPr="00500587">
        <w:rPr>
          <w:rFonts w:cs="Arial"/>
          <w:szCs w:val="22"/>
        </w:rPr>
        <w:t>2.</w:t>
      </w:r>
      <w:r w:rsidRPr="00500587">
        <w:rPr>
          <w:rFonts w:cs="Arial"/>
          <w:szCs w:val="22"/>
        </w:rPr>
        <w:tab/>
        <w:t>“Bonos Hipotecarios” cuyo emisor sea una empresa bancaria distinta del Participante (BH), correspondientes a bonos sin garantía especial emitidos por empresas bancarias, en pesos o en Unidades de Fomento y pagaderos en moneda corriente nacional, a que se refiere el numeral 2 del artículo 69 de la Ley General de Bancos (LGB).</w:t>
      </w:r>
    </w:p>
    <w:p w14:paraId="3407E56E" w14:textId="77777777" w:rsidR="00225211" w:rsidRPr="00500587" w:rsidRDefault="00225211" w:rsidP="00225211">
      <w:pPr>
        <w:autoSpaceDE w:val="0"/>
        <w:autoSpaceDN w:val="0"/>
        <w:adjustRightInd w:val="0"/>
        <w:ind w:left="426" w:hanging="426"/>
        <w:jc w:val="both"/>
        <w:rPr>
          <w:rFonts w:cs="Arial"/>
          <w:szCs w:val="22"/>
        </w:rPr>
      </w:pPr>
    </w:p>
    <w:p w14:paraId="2DF98261" w14:textId="77777777" w:rsidR="00225211" w:rsidRPr="00500587" w:rsidRDefault="00225211" w:rsidP="00225211">
      <w:pPr>
        <w:autoSpaceDE w:val="0"/>
        <w:autoSpaceDN w:val="0"/>
        <w:adjustRightInd w:val="0"/>
        <w:ind w:left="709" w:hanging="283"/>
        <w:jc w:val="both"/>
        <w:rPr>
          <w:rFonts w:cs="Arial"/>
          <w:szCs w:val="22"/>
        </w:rPr>
      </w:pPr>
      <w:r w:rsidRPr="00500587">
        <w:rPr>
          <w:rFonts w:cs="Arial"/>
          <w:szCs w:val="22"/>
        </w:rPr>
        <w:t>3.</w:t>
      </w:r>
      <w:r w:rsidRPr="00500587">
        <w:rPr>
          <w:rFonts w:cs="Arial"/>
          <w:szCs w:val="22"/>
        </w:rPr>
        <w:tab/>
        <w:t>Otros bonos o debentures sin garantía especial emitidos por empresas bancarias, diversos de los individualizados en el punto anterior, conforme a lo dispuesto en el numeral 2 del artículo 69 de la LGB, cuyo emisor sea una empresa bancaria distinta del Participante. Para mayor certeza, se deja constancia que se excluyen los bonos subordinados de que trata el artículo 55 de la LGB y los bonos sin plazo fijo de vencimiento a que refiere el artículo 55 bis del mismo cuerpo legal.</w:t>
      </w:r>
    </w:p>
    <w:p w14:paraId="580B9FC6" w14:textId="77777777" w:rsidR="00225211" w:rsidRPr="00500587" w:rsidRDefault="00225211" w:rsidP="00225211">
      <w:pPr>
        <w:autoSpaceDE w:val="0"/>
        <w:autoSpaceDN w:val="0"/>
        <w:adjustRightInd w:val="0"/>
        <w:ind w:left="709" w:hanging="283"/>
        <w:jc w:val="both"/>
        <w:rPr>
          <w:rFonts w:cs="Arial"/>
          <w:szCs w:val="22"/>
        </w:rPr>
      </w:pPr>
    </w:p>
    <w:p w14:paraId="50FD5548" w14:textId="77777777" w:rsidR="00225211" w:rsidRPr="00500587" w:rsidRDefault="00225211" w:rsidP="00225211">
      <w:pPr>
        <w:autoSpaceDE w:val="0"/>
        <w:autoSpaceDN w:val="0"/>
        <w:adjustRightInd w:val="0"/>
        <w:ind w:left="709" w:hanging="283"/>
        <w:jc w:val="both"/>
        <w:rPr>
          <w:rFonts w:cs="Arial"/>
          <w:szCs w:val="22"/>
        </w:rPr>
      </w:pPr>
    </w:p>
    <w:p w14:paraId="21BD89A5" w14:textId="77777777" w:rsidR="00225211" w:rsidRPr="00500587" w:rsidRDefault="00225211" w:rsidP="00225211">
      <w:pPr>
        <w:autoSpaceDE w:val="0"/>
        <w:autoSpaceDN w:val="0"/>
        <w:adjustRightInd w:val="0"/>
        <w:jc w:val="both"/>
        <w:rPr>
          <w:rFonts w:cs="Arial"/>
          <w:szCs w:val="22"/>
        </w:rPr>
      </w:pPr>
    </w:p>
    <w:p w14:paraId="7F563449" w14:textId="77777777" w:rsidR="00225211" w:rsidRPr="00500587" w:rsidRDefault="00225211" w:rsidP="00225211">
      <w:pPr>
        <w:jc w:val="both"/>
        <w:rPr>
          <w:rFonts w:cs="Arial"/>
          <w:szCs w:val="22"/>
          <w:lang w:val="es-ES_tradnl"/>
        </w:rPr>
      </w:pPr>
    </w:p>
    <w:p w14:paraId="2920E150" w14:textId="77777777" w:rsidR="00225211" w:rsidRPr="00500587" w:rsidRDefault="00225211" w:rsidP="00225211">
      <w:pPr>
        <w:autoSpaceDE w:val="0"/>
        <w:autoSpaceDN w:val="0"/>
        <w:adjustRightInd w:val="0"/>
        <w:jc w:val="center"/>
        <w:rPr>
          <w:rFonts w:eastAsia="Calibri" w:cs="Arial"/>
          <w:b/>
          <w:color w:val="000000"/>
          <w:szCs w:val="22"/>
          <w:lang w:val="es-CL" w:eastAsia="en-US"/>
        </w:rPr>
      </w:pPr>
      <w:r w:rsidRPr="00500587">
        <w:rPr>
          <w:rFonts w:eastAsia="Calibri" w:cs="Arial"/>
          <w:color w:val="000000"/>
          <w:szCs w:val="22"/>
          <w:lang w:val="es-CL" w:eastAsia="en-US"/>
        </w:rPr>
        <w:br w:type="page"/>
      </w:r>
    </w:p>
    <w:p w14:paraId="6D707939" w14:textId="77777777" w:rsidR="00225211" w:rsidRDefault="00225211" w:rsidP="00225211">
      <w:pPr>
        <w:autoSpaceDE w:val="0"/>
        <w:autoSpaceDN w:val="0"/>
        <w:adjustRightInd w:val="0"/>
        <w:jc w:val="center"/>
        <w:rPr>
          <w:rFonts w:cs="Arial"/>
          <w:b/>
          <w:szCs w:val="22"/>
        </w:rPr>
      </w:pPr>
    </w:p>
    <w:p w14:paraId="0EE784A2" w14:textId="77777777" w:rsidR="00225211" w:rsidRDefault="00225211" w:rsidP="00225211">
      <w:pPr>
        <w:autoSpaceDE w:val="0"/>
        <w:autoSpaceDN w:val="0"/>
        <w:adjustRightInd w:val="0"/>
        <w:jc w:val="center"/>
        <w:rPr>
          <w:rFonts w:cs="Arial"/>
          <w:b/>
          <w:szCs w:val="22"/>
        </w:rPr>
      </w:pPr>
    </w:p>
    <w:p w14:paraId="62D7F751" w14:textId="77777777" w:rsidR="00225211" w:rsidRPr="00500587" w:rsidRDefault="00225211" w:rsidP="00225211">
      <w:pPr>
        <w:autoSpaceDE w:val="0"/>
        <w:autoSpaceDN w:val="0"/>
        <w:adjustRightInd w:val="0"/>
        <w:jc w:val="center"/>
        <w:rPr>
          <w:rFonts w:cs="Arial"/>
          <w:b/>
          <w:szCs w:val="22"/>
        </w:rPr>
      </w:pPr>
      <w:r w:rsidRPr="00500587">
        <w:rPr>
          <w:rFonts w:cs="Arial"/>
          <w:b/>
          <w:szCs w:val="22"/>
        </w:rPr>
        <w:t xml:space="preserve">ANEXO </w:t>
      </w:r>
      <w:proofErr w:type="spellStart"/>
      <w:r w:rsidRPr="00500587">
        <w:rPr>
          <w:rFonts w:cs="Arial"/>
          <w:b/>
          <w:szCs w:val="22"/>
        </w:rPr>
        <w:t>N°</w:t>
      </w:r>
      <w:proofErr w:type="spellEnd"/>
      <w:r w:rsidRPr="00500587">
        <w:rPr>
          <w:rFonts w:cs="Arial"/>
          <w:b/>
          <w:szCs w:val="22"/>
        </w:rPr>
        <w:t xml:space="preserve"> 3</w:t>
      </w:r>
    </w:p>
    <w:p w14:paraId="1237CEAC" w14:textId="77777777" w:rsidR="00225211" w:rsidRPr="00500587" w:rsidRDefault="00225211" w:rsidP="00225211">
      <w:pPr>
        <w:autoSpaceDE w:val="0"/>
        <w:autoSpaceDN w:val="0"/>
        <w:adjustRightInd w:val="0"/>
        <w:rPr>
          <w:rFonts w:cs="Arial"/>
          <w:szCs w:val="22"/>
        </w:rPr>
      </w:pPr>
    </w:p>
    <w:p w14:paraId="020053B6" w14:textId="77777777" w:rsidR="00225211" w:rsidRPr="00500587" w:rsidRDefault="00225211" w:rsidP="00225211">
      <w:pPr>
        <w:autoSpaceDE w:val="0"/>
        <w:autoSpaceDN w:val="0"/>
        <w:adjustRightInd w:val="0"/>
        <w:jc w:val="center"/>
        <w:rPr>
          <w:rFonts w:cs="Arial"/>
          <w:b/>
          <w:szCs w:val="22"/>
        </w:rPr>
      </w:pPr>
      <w:r w:rsidRPr="00500587">
        <w:rPr>
          <w:rFonts w:cs="Arial"/>
          <w:b/>
          <w:szCs w:val="22"/>
        </w:rPr>
        <w:t>SOLICITUD DE ACCESO</w:t>
      </w:r>
    </w:p>
    <w:p w14:paraId="61981B92" w14:textId="77777777" w:rsidR="00225211" w:rsidRPr="00500587" w:rsidRDefault="00225211" w:rsidP="00225211">
      <w:pPr>
        <w:autoSpaceDE w:val="0"/>
        <w:autoSpaceDN w:val="0"/>
        <w:adjustRightInd w:val="0"/>
        <w:rPr>
          <w:rFonts w:cs="Arial"/>
          <w:szCs w:val="22"/>
        </w:rPr>
      </w:pPr>
    </w:p>
    <w:p w14:paraId="2366A18F" w14:textId="77777777" w:rsidR="00225211" w:rsidRPr="00500587" w:rsidRDefault="00225211" w:rsidP="00225211">
      <w:pPr>
        <w:autoSpaceDE w:val="0"/>
        <w:autoSpaceDN w:val="0"/>
        <w:adjustRightInd w:val="0"/>
        <w:jc w:val="both"/>
        <w:rPr>
          <w:rFonts w:cs="Arial"/>
          <w:szCs w:val="22"/>
        </w:rPr>
      </w:pPr>
    </w:p>
    <w:p w14:paraId="3350BC8C" w14:textId="77777777" w:rsidR="00225211" w:rsidRPr="00AE0DC9" w:rsidRDefault="00225211" w:rsidP="00225211">
      <w:pPr>
        <w:autoSpaceDE w:val="0"/>
        <w:autoSpaceDN w:val="0"/>
        <w:adjustRightInd w:val="0"/>
        <w:jc w:val="both"/>
        <w:rPr>
          <w:rFonts w:cs="Arial"/>
          <w:color w:val="000000" w:themeColor="text1"/>
          <w:szCs w:val="22"/>
          <w:lang w:val="es-ES_tradnl"/>
        </w:rPr>
      </w:pPr>
      <w:r w:rsidRPr="00500587">
        <w:rPr>
          <w:rFonts w:cs="Arial"/>
          <w:szCs w:val="22"/>
        </w:rPr>
        <w:t xml:space="preserve">En Santiago de Chile, a </w:t>
      </w:r>
      <w:permStart w:id="1474264698" w:edGrp="everyone"/>
      <w:r w:rsidRPr="00500587">
        <w:rPr>
          <w:rFonts w:cs="Arial"/>
          <w:szCs w:val="22"/>
        </w:rPr>
        <w:t>[_______________________]</w:t>
      </w:r>
      <w:permEnd w:id="1474264698"/>
      <w:r w:rsidRPr="00500587">
        <w:rPr>
          <w:rFonts w:cs="Arial"/>
          <w:szCs w:val="22"/>
        </w:rPr>
        <w:t xml:space="preserve">, la entidad denominada </w:t>
      </w:r>
      <w:permStart w:id="333405040" w:edGrp="everyone"/>
      <w:r w:rsidRPr="00500587">
        <w:rPr>
          <w:rFonts w:cs="Arial"/>
          <w:szCs w:val="22"/>
        </w:rPr>
        <w:t>[_______________________]</w:t>
      </w:r>
      <w:permEnd w:id="333405040"/>
      <w:r w:rsidRPr="00500587">
        <w:rPr>
          <w:rFonts w:cs="Arial"/>
          <w:szCs w:val="22"/>
        </w:rPr>
        <w:t xml:space="preserve"> (Participante) solicita acceso al </w:t>
      </w:r>
      <w:r w:rsidRPr="00500587">
        <w:rPr>
          <w:rFonts w:cs="Arial"/>
          <w:szCs w:val="22"/>
          <w:lang w:val="es-ES_tradnl"/>
        </w:rPr>
        <w:t xml:space="preserve">Programa Especial de operaciones de compraventa al </w:t>
      </w:r>
      <w:r w:rsidRPr="00AE0DC9">
        <w:rPr>
          <w:rFonts w:cs="Arial"/>
          <w:szCs w:val="22"/>
          <w:lang w:val="es-ES_tradnl"/>
        </w:rPr>
        <w:t>contado realizadas conjunta y simultáneamente con una compraventa a plazo (Operaciones CC-VP) de instrumentos financieros dirigidas a las entidades del mercado abierto</w:t>
      </w:r>
      <w:r w:rsidRPr="00AE0DC9">
        <w:rPr>
          <w:rFonts w:cs="Arial"/>
          <w:szCs w:val="22"/>
        </w:rPr>
        <w:t xml:space="preserve">, </w:t>
      </w:r>
      <w:r w:rsidRPr="00AE0DC9">
        <w:rPr>
          <w:rFonts w:cs="Arial"/>
          <w:color w:val="000000" w:themeColor="text1"/>
          <w:szCs w:val="22"/>
        </w:rPr>
        <w:t xml:space="preserve">conforme a la regulación contemplada en el Acuerdo </w:t>
      </w:r>
      <w:r w:rsidRPr="00AE0DC9">
        <w:rPr>
          <w:rFonts w:cs="Arial"/>
          <w:color w:val="000000" w:themeColor="text1"/>
          <w:szCs w:val="22"/>
        </w:rPr>
        <w:br/>
      </w:r>
      <w:proofErr w:type="spellStart"/>
      <w:r w:rsidRPr="00AE0DC9">
        <w:rPr>
          <w:rFonts w:cs="Arial"/>
          <w:color w:val="000000" w:themeColor="text1"/>
          <w:szCs w:val="22"/>
        </w:rPr>
        <w:t>N°</w:t>
      </w:r>
      <w:proofErr w:type="spellEnd"/>
      <w:r w:rsidRPr="00AE0DC9">
        <w:rPr>
          <w:rFonts w:cs="Arial"/>
          <w:color w:val="000000" w:themeColor="text1"/>
          <w:szCs w:val="22"/>
        </w:rPr>
        <w:t xml:space="preserve"> 2327E-01-200730, modificado por el Acuerdo </w:t>
      </w:r>
      <w:proofErr w:type="spellStart"/>
      <w:r w:rsidRPr="00AE0DC9">
        <w:rPr>
          <w:rFonts w:cs="Arial"/>
          <w:color w:val="000000" w:themeColor="text1"/>
          <w:szCs w:val="22"/>
        </w:rPr>
        <w:t>N°</w:t>
      </w:r>
      <w:proofErr w:type="spellEnd"/>
      <w:r w:rsidRPr="00AE0DC9">
        <w:rPr>
          <w:rFonts w:cs="Arial"/>
          <w:color w:val="000000" w:themeColor="text1"/>
          <w:szCs w:val="22"/>
        </w:rPr>
        <w:t xml:space="preserve"> 2358E-01-201204 del Consejo del Banco Central de Chile (BCCh) (Normativa Operaciones CC-VP). Para ello, acepta lo señalado en el referido Acuerdo de Consejo y en la Normativa Operaciones CC-VP.</w:t>
      </w:r>
    </w:p>
    <w:p w14:paraId="3B5E1948" w14:textId="77777777" w:rsidR="00225211" w:rsidRPr="00AE0DC9" w:rsidRDefault="00225211" w:rsidP="00225211">
      <w:pPr>
        <w:autoSpaceDE w:val="0"/>
        <w:autoSpaceDN w:val="0"/>
        <w:adjustRightInd w:val="0"/>
        <w:jc w:val="both"/>
        <w:rPr>
          <w:rFonts w:cs="Arial"/>
          <w:color w:val="000000" w:themeColor="text1"/>
          <w:szCs w:val="22"/>
        </w:rPr>
      </w:pPr>
    </w:p>
    <w:p w14:paraId="23FCB181" w14:textId="77777777" w:rsidR="00225211" w:rsidRPr="00AE0DC9" w:rsidRDefault="00225211" w:rsidP="00225211">
      <w:pPr>
        <w:autoSpaceDE w:val="0"/>
        <w:autoSpaceDN w:val="0"/>
        <w:adjustRightInd w:val="0"/>
        <w:jc w:val="both"/>
        <w:rPr>
          <w:rFonts w:cs="Arial"/>
          <w:color w:val="000000" w:themeColor="text1"/>
          <w:szCs w:val="22"/>
        </w:rPr>
      </w:pPr>
      <w:r w:rsidRPr="00AE0DC9">
        <w:rPr>
          <w:rFonts w:cs="Arial"/>
          <w:color w:val="000000" w:themeColor="text1"/>
          <w:szCs w:val="22"/>
        </w:rPr>
        <w:t xml:space="preserve">El Participante declara expresamente que, a la fecha de publicación en el Diario Oficial del Acuerdo </w:t>
      </w:r>
      <w:proofErr w:type="spellStart"/>
      <w:r w:rsidRPr="00AE0DC9">
        <w:rPr>
          <w:rFonts w:cs="Arial"/>
          <w:color w:val="000000" w:themeColor="text1"/>
          <w:szCs w:val="22"/>
        </w:rPr>
        <w:t>N°</w:t>
      </w:r>
      <w:proofErr w:type="spellEnd"/>
      <w:r w:rsidRPr="00AE0DC9">
        <w:rPr>
          <w:rFonts w:cs="Arial"/>
          <w:color w:val="000000" w:themeColor="text1"/>
          <w:szCs w:val="22"/>
        </w:rPr>
        <w:t xml:space="preserve"> 2358E-01-201204, se ha incorporado </w:t>
      </w:r>
      <w:r w:rsidRPr="00AE0DC9">
        <w:rPr>
          <w:rFonts w:cs="Arial"/>
          <w:szCs w:val="22"/>
        </w:rPr>
        <w:t>o solicitado incorporarse al Sistema SOMA, y que mantiene vigentes los contratos individualizados en la Normativa Operaciones CC-VP, en los términos que se prescriben en esa norma.</w:t>
      </w:r>
    </w:p>
    <w:p w14:paraId="30326D3E" w14:textId="77777777" w:rsidR="00225211" w:rsidRPr="00500587" w:rsidRDefault="00225211" w:rsidP="00225211">
      <w:pPr>
        <w:autoSpaceDE w:val="0"/>
        <w:autoSpaceDN w:val="0"/>
        <w:adjustRightInd w:val="0"/>
        <w:jc w:val="both"/>
        <w:rPr>
          <w:rFonts w:cs="Arial"/>
          <w:szCs w:val="22"/>
        </w:rPr>
      </w:pPr>
    </w:p>
    <w:p w14:paraId="1995B306" w14:textId="77777777" w:rsidR="00225211" w:rsidRPr="00500587" w:rsidRDefault="00225211" w:rsidP="00225211">
      <w:pPr>
        <w:autoSpaceDE w:val="0"/>
        <w:autoSpaceDN w:val="0"/>
        <w:adjustRightInd w:val="0"/>
        <w:jc w:val="both"/>
        <w:rPr>
          <w:rFonts w:cs="Arial"/>
          <w:szCs w:val="22"/>
        </w:rPr>
      </w:pPr>
      <w:r w:rsidRPr="00500587">
        <w:rPr>
          <w:rFonts w:cs="Arial"/>
          <w:szCs w:val="22"/>
          <w:lang w:val="es-ES_tradnl"/>
        </w:rPr>
        <w:t>El</w:t>
      </w:r>
      <w:r w:rsidRPr="00500587">
        <w:rPr>
          <w:rFonts w:cs="Arial"/>
          <w:szCs w:val="22"/>
        </w:rPr>
        <w:t xml:space="preserve"> Participante declara conocer y aceptar que cada vez que celebre con el BCCh una Operación CC-VP, implicará la aceptación pura y simple de lo dispuesto en la normativa que la rige y se entenderá formado el consentimiento para la celebración, </w:t>
      </w:r>
      <w:r w:rsidRPr="00500587">
        <w:rPr>
          <w:rFonts w:cs="Arial"/>
          <w:szCs w:val="22"/>
          <w:lang w:val="es-ES_tradnl"/>
        </w:rPr>
        <w:t>conjunta y simultánea,</w:t>
      </w:r>
      <w:r w:rsidRPr="00500587">
        <w:rPr>
          <w:rFonts w:cs="Arial"/>
          <w:szCs w:val="22"/>
        </w:rPr>
        <w:t xml:space="preserve"> de la respectiva Compraventa al Contada y Compraventa a Plazo, sirviendo como evidencia suficiente de los términos de dichas operaciones, los registros del Sistema SOMA, </w:t>
      </w:r>
      <w:r w:rsidRPr="00500587">
        <w:rPr>
          <w:rFonts w:cs="Arial"/>
          <w:szCs w:val="22"/>
          <w:lang w:val="es-ES_tradnl"/>
        </w:rPr>
        <w:t>del Sistema LBTR y de cualquier otro registro que el BCCh lleve o instruya al efecto, y considerando para fines de su cumplimiento y ejecución posterior, las Condiciones Financieras que le resulten aplicables</w:t>
      </w:r>
      <w:r w:rsidRPr="00500587">
        <w:rPr>
          <w:rFonts w:cs="Arial"/>
          <w:szCs w:val="22"/>
        </w:rPr>
        <w:t>. A su turno, declaramos que el Participante cumple con todos los requisitos técnicos establecidos en el Acuerdo de Consejo y su normativa complementaria.</w:t>
      </w:r>
    </w:p>
    <w:p w14:paraId="1F01BC4E" w14:textId="77777777" w:rsidR="00225211" w:rsidRPr="00500587" w:rsidRDefault="00225211" w:rsidP="00225211">
      <w:pPr>
        <w:autoSpaceDE w:val="0"/>
        <w:autoSpaceDN w:val="0"/>
        <w:adjustRightInd w:val="0"/>
        <w:jc w:val="both"/>
        <w:rPr>
          <w:rFonts w:cs="Arial"/>
          <w:szCs w:val="22"/>
        </w:rPr>
      </w:pPr>
    </w:p>
    <w:p w14:paraId="20A1CEFC" w14:textId="77777777" w:rsidR="00225211" w:rsidRPr="00500587" w:rsidRDefault="00225211" w:rsidP="00225211">
      <w:pPr>
        <w:autoSpaceDE w:val="0"/>
        <w:autoSpaceDN w:val="0"/>
        <w:adjustRightInd w:val="0"/>
        <w:jc w:val="both"/>
        <w:rPr>
          <w:rFonts w:cs="Arial"/>
          <w:szCs w:val="22"/>
        </w:rPr>
      </w:pPr>
    </w:p>
    <w:p w14:paraId="7A8E5A6E" w14:textId="77777777" w:rsidR="00225211" w:rsidRPr="00500587" w:rsidRDefault="00225211" w:rsidP="00225211">
      <w:pPr>
        <w:autoSpaceDE w:val="0"/>
        <w:autoSpaceDN w:val="0"/>
        <w:adjustRightInd w:val="0"/>
        <w:jc w:val="both"/>
        <w:rPr>
          <w:rFonts w:cs="Arial"/>
          <w:szCs w:val="22"/>
        </w:rPr>
      </w:pPr>
    </w:p>
    <w:p w14:paraId="423039B4" w14:textId="3452ED9F" w:rsidR="00225211" w:rsidRDefault="00225211" w:rsidP="00225211">
      <w:pPr>
        <w:autoSpaceDE w:val="0"/>
        <w:autoSpaceDN w:val="0"/>
        <w:adjustRightInd w:val="0"/>
        <w:jc w:val="both"/>
        <w:rPr>
          <w:rFonts w:cs="Arial"/>
          <w:szCs w:val="22"/>
        </w:rPr>
      </w:pPr>
    </w:p>
    <w:p w14:paraId="6C72C03B" w14:textId="09457E9D" w:rsidR="008E228A" w:rsidRDefault="008E228A" w:rsidP="00225211">
      <w:pPr>
        <w:autoSpaceDE w:val="0"/>
        <w:autoSpaceDN w:val="0"/>
        <w:adjustRightInd w:val="0"/>
        <w:jc w:val="both"/>
        <w:rPr>
          <w:rFonts w:cs="Arial"/>
          <w:szCs w:val="22"/>
        </w:rPr>
      </w:pPr>
    </w:p>
    <w:p w14:paraId="4A170528" w14:textId="702DAB3E" w:rsidR="008E228A" w:rsidRDefault="008E228A" w:rsidP="00225211">
      <w:pPr>
        <w:autoSpaceDE w:val="0"/>
        <w:autoSpaceDN w:val="0"/>
        <w:adjustRightInd w:val="0"/>
        <w:jc w:val="both"/>
        <w:rPr>
          <w:rFonts w:cs="Arial"/>
          <w:szCs w:val="22"/>
        </w:rPr>
      </w:pPr>
    </w:p>
    <w:p w14:paraId="230F4FF4" w14:textId="77777777" w:rsidR="008E228A" w:rsidRPr="00500587" w:rsidRDefault="008E228A" w:rsidP="00225211">
      <w:pPr>
        <w:autoSpaceDE w:val="0"/>
        <w:autoSpaceDN w:val="0"/>
        <w:adjustRightInd w:val="0"/>
        <w:jc w:val="both"/>
        <w:rPr>
          <w:rFonts w:cs="Arial"/>
          <w:szCs w:val="22"/>
        </w:rPr>
      </w:pPr>
    </w:p>
    <w:p w14:paraId="4F227F16" w14:textId="77777777" w:rsidR="00225211" w:rsidRPr="00500587" w:rsidRDefault="00225211" w:rsidP="00225211">
      <w:pPr>
        <w:autoSpaceDE w:val="0"/>
        <w:autoSpaceDN w:val="0"/>
        <w:adjustRightInd w:val="0"/>
        <w:jc w:val="both"/>
        <w:rPr>
          <w:rFonts w:cs="Arial"/>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62"/>
      </w:tblGrid>
      <w:tr w:rsidR="00225211" w:rsidRPr="00500587" w14:paraId="568AC417" w14:textId="77777777" w:rsidTr="00FC7B14">
        <w:tc>
          <w:tcPr>
            <w:tcW w:w="4698" w:type="dxa"/>
          </w:tcPr>
          <w:p w14:paraId="797260E1" w14:textId="77777777" w:rsidR="00225211" w:rsidRPr="00500587" w:rsidRDefault="00225211" w:rsidP="00FC7B14">
            <w:pPr>
              <w:autoSpaceDE w:val="0"/>
              <w:autoSpaceDN w:val="0"/>
              <w:adjustRightInd w:val="0"/>
              <w:jc w:val="center"/>
              <w:rPr>
                <w:rFonts w:cs="Arial"/>
                <w:szCs w:val="22"/>
              </w:rPr>
            </w:pPr>
            <w:r w:rsidRPr="00500587">
              <w:rPr>
                <w:rFonts w:cs="Arial"/>
                <w:szCs w:val="22"/>
              </w:rPr>
              <w:t>Participante</w:t>
            </w:r>
          </w:p>
        </w:tc>
        <w:tc>
          <w:tcPr>
            <w:tcW w:w="4699" w:type="dxa"/>
          </w:tcPr>
          <w:p w14:paraId="33FB9B8A" w14:textId="77777777" w:rsidR="00225211" w:rsidRPr="00500587" w:rsidRDefault="00225211" w:rsidP="00FC7B14">
            <w:pPr>
              <w:autoSpaceDE w:val="0"/>
              <w:autoSpaceDN w:val="0"/>
              <w:adjustRightInd w:val="0"/>
              <w:jc w:val="center"/>
              <w:rPr>
                <w:rFonts w:cs="Arial"/>
                <w:szCs w:val="22"/>
              </w:rPr>
            </w:pPr>
            <w:r w:rsidRPr="00500587">
              <w:rPr>
                <w:rFonts w:cs="Arial"/>
                <w:szCs w:val="22"/>
              </w:rPr>
              <w:t>Participante</w:t>
            </w:r>
          </w:p>
        </w:tc>
      </w:tr>
      <w:tr w:rsidR="00225211" w:rsidRPr="00500587" w14:paraId="1AF2035E" w14:textId="77777777" w:rsidTr="00FC7B14">
        <w:tc>
          <w:tcPr>
            <w:tcW w:w="4698" w:type="dxa"/>
          </w:tcPr>
          <w:p w14:paraId="249180B9" w14:textId="77777777" w:rsidR="00225211" w:rsidRPr="00500587" w:rsidRDefault="00225211" w:rsidP="00FC7B14">
            <w:pPr>
              <w:autoSpaceDE w:val="0"/>
              <w:autoSpaceDN w:val="0"/>
              <w:adjustRightInd w:val="0"/>
              <w:jc w:val="center"/>
              <w:rPr>
                <w:rFonts w:cs="Arial"/>
                <w:szCs w:val="22"/>
              </w:rPr>
            </w:pPr>
            <w:r w:rsidRPr="00500587">
              <w:rPr>
                <w:rFonts w:cs="Arial"/>
                <w:szCs w:val="22"/>
              </w:rPr>
              <w:t>Firma autorizada</w:t>
            </w:r>
          </w:p>
        </w:tc>
        <w:tc>
          <w:tcPr>
            <w:tcW w:w="4699" w:type="dxa"/>
          </w:tcPr>
          <w:p w14:paraId="7D03EEED" w14:textId="77777777" w:rsidR="00225211" w:rsidRPr="00500587" w:rsidRDefault="00225211" w:rsidP="00FC7B14">
            <w:pPr>
              <w:autoSpaceDE w:val="0"/>
              <w:autoSpaceDN w:val="0"/>
              <w:adjustRightInd w:val="0"/>
              <w:jc w:val="center"/>
              <w:rPr>
                <w:rFonts w:cs="Arial"/>
                <w:szCs w:val="22"/>
              </w:rPr>
            </w:pPr>
            <w:r w:rsidRPr="00500587">
              <w:rPr>
                <w:rFonts w:cs="Arial"/>
                <w:szCs w:val="22"/>
              </w:rPr>
              <w:t>Firma autorizada</w:t>
            </w:r>
          </w:p>
        </w:tc>
      </w:tr>
    </w:tbl>
    <w:p w14:paraId="5177FDFF" w14:textId="77777777" w:rsidR="00225211" w:rsidRPr="00500587" w:rsidRDefault="00225211" w:rsidP="00225211">
      <w:pPr>
        <w:autoSpaceDE w:val="0"/>
        <w:autoSpaceDN w:val="0"/>
        <w:adjustRightInd w:val="0"/>
        <w:jc w:val="both"/>
        <w:rPr>
          <w:rFonts w:cs="Arial"/>
          <w:szCs w:val="22"/>
        </w:rPr>
      </w:pPr>
    </w:p>
    <w:p w14:paraId="0357F91B" w14:textId="77777777" w:rsidR="00225211" w:rsidRPr="00500587" w:rsidRDefault="00225211" w:rsidP="00225211">
      <w:pPr>
        <w:autoSpaceDE w:val="0"/>
        <w:autoSpaceDN w:val="0"/>
        <w:adjustRightInd w:val="0"/>
        <w:jc w:val="both"/>
        <w:rPr>
          <w:rFonts w:cs="Arial"/>
          <w:szCs w:val="22"/>
        </w:rPr>
      </w:pPr>
    </w:p>
    <w:p w14:paraId="60FC2FA3" w14:textId="77777777" w:rsidR="00225211" w:rsidRPr="00500587" w:rsidRDefault="00225211" w:rsidP="00225211">
      <w:pPr>
        <w:rPr>
          <w:rFonts w:cs="Arial"/>
          <w:szCs w:val="22"/>
          <w:lang w:val="es-ES_tradnl"/>
        </w:rPr>
      </w:pPr>
    </w:p>
    <w:p w14:paraId="45BC6E36" w14:textId="77777777" w:rsidR="00225211" w:rsidRPr="00BF2A35" w:rsidRDefault="00225211" w:rsidP="00225211">
      <w:pPr>
        <w:rPr>
          <w:sz w:val="16"/>
          <w:szCs w:val="16"/>
          <w:lang w:val="es-ES_tradnl"/>
        </w:rPr>
      </w:pPr>
    </w:p>
    <w:p w14:paraId="0086C8FF" w14:textId="0FC0A87C" w:rsidR="008965E4" w:rsidRPr="00A91AE2" w:rsidRDefault="008965E4" w:rsidP="00084B13">
      <w:pPr>
        <w:ind w:left="567" w:right="-94" w:hanging="141"/>
        <w:jc w:val="both"/>
        <w:rPr>
          <w:rFonts w:cs="Arial"/>
          <w:sz w:val="18"/>
          <w:szCs w:val="22"/>
        </w:rPr>
      </w:pPr>
    </w:p>
    <w:sectPr w:rsidR="008965E4" w:rsidRPr="00A91AE2" w:rsidSect="00225211">
      <w:headerReference w:type="even" r:id="rId8"/>
      <w:headerReference w:type="default" r:id="rId9"/>
      <w:footerReference w:type="even" r:id="rId10"/>
      <w:footerReference w:type="default" r:id="rId11"/>
      <w:headerReference w:type="first" r:id="rId12"/>
      <w:footerReference w:type="first" r:id="rId13"/>
      <w:pgSz w:w="12242" w:h="18722" w:code="14"/>
      <w:pgMar w:top="1701" w:right="1418" w:bottom="1418" w:left="1701" w:header="425" w:footer="1134"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8DD75" w14:textId="77777777" w:rsidR="008B3EA0" w:rsidRDefault="008B3EA0">
      <w:r>
        <w:separator/>
      </w:r>
    </w:p>
  </w:endnote>
  <w:endnote w:type="continuationSeparator" w:id="0">
    <w:p w14:paraId="659A20D4" w14:textId="77777777" w:rsidR="008B3EA0" w:rsidRDefault="008B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139C" w14:textId="77777777" w:rsidR="00AE0DC9" w:rsidRDefault="002252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5823D6" w14:textId="77777777" w:rsidR="00AE0DC9" w:rsidRDefault="00C615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6657" w14:textId="77777777" w:rsidR="00AE0DC9" w:rsidRDefault="00C615E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3C61" w14:textId="77777777" w:rsidR="00AE0DC9" w:rsidRDefault="00C615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89B4F" w14:textId="77777777" w:rsidR="008B3EA0" w:rsidRDefault="008B3EA0">
      <w:r>
        <w:separator/>
      </w:r>
    </w:p>
  </w:footnote>
  <w:footnote w:type="continuationSeparator" w:id="0">
    <w:p w14:paraId="52C7132C" w14:textId="77777777" w:rsidR="008B3EA0" w:rsidRDefault="008B3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D935" w14:textId="77777777" w:rsidR="00AE0DC9" w:rsidRDefault="00C615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0ED3" w14:textId="77777777" w:rsidR="00225211" w:rsidRDefault="00225211" w:rsidP="00D91F4B">
    <w:pPr>
      <w:pStyle w:val="Encabezado"/>
      <w:tabs>
        <w:tab w:val="clear" w:pos="4419"/>
        <w:tab w:val="clear" w:pos="8838"/>
      </w:tabs>
      <w:jc w:val="center"/>
      <w:rPr>
        <w:snapToGrid w:val="0"/>
      </w:rPr>
    </w:pPr>
  </w:p>
  <w:bookmarkStart w:id="1" w:name="_MON_1146057056"/>
  <w:bookmarkEnd w:id="1"/>
  <w:p w14:paraId="2ED8EB0B" w14:textId="053F8899" w:rsidR="00AE0DC9" w:rsidRDefault="00225211" w:rsidP="00D91F4B">
    <w:pPr>
      <w:pStyle w:val="Encabezado"/>
      <w:tabs>
        <w:tab w:val="clear" w:pos="4419"/>
        <w:tab w:val="clear" w:pos="8838"/>
      </w:tabs>
      <w:jc w:val="center"/>
    </w:pPr>
    <w:r>
      <w:rPr>
        <w:snapToGrid w:val="0"/>
      </w:rPr>
      <w:object w:dxaOrig="2395" w:dyaOrig="2345" w14:anchorId="05A03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42.55pt" fillcolor="window">
          <v:imagedata r:id="rId1" o:title=""/>
        </v:shape>
        <o:OLEObject Type="Embed" ProgID="Word.Picture.8" ShapeID="_x0000_i1025" DrawAspect="Content" ObjectID="_1668600735" r:id="rId2"/>
      </w:object>
    </w:r>
  </w:p>
  <w:p w14:paraId="16E21163" w14:textId="77777777" w:rsidR="00225211" w:rsidRPr="00587A7B" w:rsidRDefault="00225211" w:rsidP="00225211">
    <w:pPr>
      <w:tabs>
        <w:tab w:val="left" w:pos="3163"/>
        <w:tab w:val="right" w:pos="9214"/>
      </w:tabs>
      <w:ind w:right="-6"/>
      <w:jc w:val="center"/>
      <w:rPr>
        <w:rFonts w:cs="Arial"/>
        <w:sz w:val="16"/>
        <w:u w:val="single"/>
      </w:rPr>
    </w:pPr>
    <w:r>
      <w:rPr>
        <w:rFonts w:cs="Arial"/>
        <w:u w:val="single"/>
      </w:rPr>
      <w:t xml:space="preserve">Secretaría General </w:t>
    </w:r>
  </w:p>
  <w:p w14:paraId="56DBA347" w14:textId="77777777" w:rsidR="00AE0DC9" w:rsidRDefault="00C615EE">
    <w:pPr>
      <w:pStyle w:val="Encabezado"/>
    </w:pPr>
  </w:p>
  <w:p w14:paraId="4313C6C4" w14:textId="77777777" w:rsidR="00AE0DC9" w:rsidRDefault="00C615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7416" w14:textId="77777777" w:rsidR="00AE0DC9" w:rsidRDefault="00225211">
    <w:pPr>
      <w:pStyle w:val="Encabezado"/>
      <w:jc w:val="center"/>
    </w:pPr>
    <w:r>
      <w:rPr>
        <w:noProof/>
        <w:lang w:val="es-CL"/>
      </w:rPr>
      <w:drawing>
        <wp:inline distT="0" distB="0" distL="0" distR="0" wp14:anchorId="3C86CD1F" wp14:editId="1A77E958">
          <wp:extent cx="960755" cy="753110"/>
          <wp:effectExtent l="0" t="0" r="0" b="0"/>
          <wp:docPr id="93" name="Imagen 9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755" cy="753110"/>
                  </a:xfrm>
                  <a:prstGeom prst="rect">
                    <a:avLst/>
                  </a:prstGeom>
                  <a:noFill/>
                  <a:ln>
                    <a:noFill/>
                  </a:ln>
                </pic:spPr>
              </pic:pic>
            </a:graphicData>
          </a:graphic>
        </wp:inline>
      </w:drawing>
    </w:r>
  </w:p>
  <w:p w14:paraId="2FFB4962" w14:textId="77777777" w:rsidR="00AE0DC9" w:rsidRDefault="00225211">
    <w:pPr>
      <w:pStyle w:val="Encabezado"/>
      <w:jc w:val="center"/>
      <w:rPr>
        <w:rFonts w:ascii="Arial" w:hAnsi="Arial"/>
      </w:rPr>
    </w:pPr>
    <w:r>
      <w:rPr>
        <w:rFonts w:ascii="Arial" w:hAnsi="Arial"/>
      </w:rPr>
      <w:t>BANCO CENTRAL DE CHILE</w:t>
    </w:r>
  </w:p>
  <w:p w14:paraId="563B02D3" w14:textId="77777777" w:rsidR="00AE0DC9" w:rsidRPr="00D91F4B" w:rsidRDefault="00225211">
    <w:pPr>
      <w:pStyle w:val="Encabezado"/>
      <w:spacing w:line="360" w:lineRule="atLeast"/>
      <w:jc w:val="center"/>
      <w:rPr>
        <w:rFonts w:ascii="Arial" w:hAnsi="Arial"/>
        <w:b/>
        <w:sz w:val="16"/>
      </w:rPr>
    </w:pPr>
    <w:r w:rsidRPr="00D91F4B">
      <w:rPr>
        <w:rFonts w:ascii="Arial" w:hAnsi="Arial"/>
        <w:sz w:val="16"/>
      </w:rPr>
      <w:t>S A N T I A G O</w:t>
    </w:r>
  </w:p>
  <w:p w14:paraId="30E84AC5" w14:textId="77777777" w:rsidR="00AE0DC9" w:rsidRDefault="00225211">
    <w:pPr>
      <w:pStyle w:val="Encabezado"/>
      <w:jc w:val="center"/>
      <w:rPr>
        <w:b/>
        <w:sz w:val="24"/>
      </w:rPr>
    </w:pPr>
    <w:r>
      <w:rPr>
        <w:position w:val="18"/>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7341"/>
    <w:multiLevelType w:val="hybridMultilevel"/>
    <w:tmpl w:val="3844F252"/>
    <w:lvl w:ilvl="0" w:tplc="B04278DE">
      <w:start w:val="1"/>
      <w:numFmt w:val="upperRoman"/>
      <w:lvlText w:val="%1."/>
      <w:lvlJc w:val="left"/>
      <w:pPr>
        <w:ind w:left="1428" w:hanging="720"/>
      </w:pPr>
      <w:rPr>
        <w:rFonts w:hint="default"/>
      </w:rPr>
    </w:lvl>
    <w:lvl w:ilvl="1" w:tplc="C9185AB0">
      <w:start w:val="1"/>
      <w:numFmt w:val="decimal"/>
      <w:lvlText w:val="%2."/>
      <w:lvlJc w:val="left"/>
      <w:pPr>
        <w:ind w:left="1930" w:hanging="360"/>
      </w:pPr>
      <w:rPr>
        <w:rFonts w:hint="default"/>
      </w:rPr>
    </w:lvl>
    <w:lvl w:ilvl="2" w:tplc="340A001B" w:tentative="1">
      <w:start w:val="1"/>
      <w:numFmt w:val="lowerRoman"/>
      <w:lvlText w:val="%3."/>
      <w:lvlJc w:val="right"/>
      <w:pPr>
        <w:ind w:left="2650" w:hanging="180"/>
      </w:pPr>
    </w:lvl>
    <w:lvl w:ilvl="3" w:tplc="340A000F" w:tentative="1">
      <w:start w:val="1"/>
      <w:numFmt w:val="decimal"/>
      <w:lvlText w:val="%4."/>
      <w:lvlJc w:val="left"/>
      <w:pPr>
        <w:ind w:left="3370" w:hanging="360"/>
      </w:pPr>
    </w:lvl>
    <w:lvl w:ilvl="4" w:tplc="340A0019" w:tentative="1">
      <w:start w:val="1"/>
      <w:numFmt w:val="lowerLetter"/>
      <w:lvlText w:val="%5."/>
      <w:lvlJc w:val="left"/>
      <w:pPr>
        <w:ind w:left="4090" w:hanging="360"/>
      </w:pPr>
    </w:lvl>
    <w:lvl w:ilvl="5" w:tplc="340A001B" w:tentative="1">
      <w:start w:val="1"/>
      <w:numFmt w:val="lowerRoman"/>
      <w:lvlText w:val="%6."/>
      <w:lvlJc w:val="right"/>
      <w:pPr>
        <w:ind w:left="4810" w:hanging="180"/>
      </w:pPr>
    </w:lvl>
    <w:lvl w:ilvl="6" w:tplc="340A000F" w:tentative="1">
      <w:start w:val="1"/>
      <w:numFmt w:val="decimal"/>
      <w:lvlText w:val="%7."/>
      <w:lvlJc w:val="left"/>
      <w:pPr>
        <w:ind w:left="5530" w:hanging="360"/>
      </w:pPr>
    </w:lvl>
    <w:lvl w:ilvl="7" w:tplc="340A0019" w:tentative="1">
      <w:start w:val="1"/>
      <w:numFmt w:val="lowerLetter"/>
      <w:lvlText w:val="%8."/>
      <w:lvlJc w:val="left"/>
      <w:pPr>
        <w:ind w:left="6250" w:hanging="360"/>
      </w:pPr>
    </w:lvl>
    <w:lvl w:ilvl="8" w:tplc="340A001B" w:tentative="1">
      <w:start w:val="1"/>
      <w:numFmt w:val="lowerRoman"/>
      <w:lvlText w:val="%9."/>
      <w:lvlJc w:val="right"/>
      <w:pPr>
        <w:ind w:left="6970" w:hanging="180"/>
      </w:pPr>
    </w:lvl>
  </w:abstractNum>
  <w:abstractNum w:abstractNumId="1" w15:restartNumberingAfterBreak="0">
    <w:nsid w:val="23732A05"/>
    <w:multiLevelType w:val="hybridMultilevel"/>
    <w:tmpl w:val="920AF7FE"/>
    <w:lvl w:ilvl="0" w:tplc="254E9A6C">
      <w:start w:val="1"/>
      <w:numFmt w:val="lowerRoman"/>
      <w:lvlText w:val="(%1)"/>
      <w:lvlJc w:val="left"/>
      <w:pPr>
        <w:ind w:left="1571" w:hanging="720"/>
      </w:pPr>
      <w:rPr>
        <w:rFonts w:hint="default"/>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 w15:restartNumberingAfterBreak="0">
    <w:nsid w:val="329F37B6"/>
    <w:multiLevelType w:val="hybridMultilevel"/>
    <w:tmpl w:val="C95A132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3C542AB3"/>
    <w:multiLevelType w:val="hybridMultilevel"/>
    <w:tmpl w:val="E9B8B90E"/>
    <w:lvl w:ilvl="0" w:tplc="996AF13A">
      <w:start w:val="1"/>
      <w:numFmt w:val="lowerLetter"/>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660A5C2B"/>
    <w:multiLevelType w:val="hybridMultilevel"/>
    <w:tmpl w:val="2BAA6674"/>
    <w:lvl w:ilvl="0" w:tplc="42BEC4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60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E6"/>
    <w:rsid w:val="00000AD2"/>
    <w:rsid w:val="00011348"/>
    <w:rsid w:val="00012020"/>
    <w:rsid w:val="00012772"/>
    <w:rsid w:val="0001490A"/>
    <w:rsid w:val="000202B9"/>
    <w:rsid w:val="000225FC"/>
    <w:rsid w:val="00024584"/>
    <w:rsid w:val="0002791A"/>
    <w:rsid w:val="00030F83"/>
    <w:rsid w:val="00033777"/>
    <w:rsid w:val="00043F89"/>
    <w:rsid w:val="0004627D"/>
    <w:rsid w:val="0004664E"/>
    <w:rsid w:val="00046B34"/>
    <w:rsid w:val="00051620"/>
    <w:rsid w:val="00052BA9"/>
    <w:rsid w:val="00063B1C"/>
    <w:rsid w:val="0006560D"/>
    <w:rsid w:val="000743BD"/>
    <w:rsid w:val="00075F57"/>
    <w:rsid w:val="00083633"/>
    <w:rsid w:val="00084B13"/>
    <w:rsid w:val="00087036"/>
    <w:rsid w:val="00090646"/>
    <w:rsid w:val="0009360A"/>
    <w:rsid w:val="000A3963"/>
    <w:rsid w:val="000A4EB2"/>
    <w:rsid w:val="000A63D4"/>
    <w:rsid w:val="000B03C7"/>
    <w:rsid w:val="000B0D48"/>
    <w:rsid w:val="000B1A8B"/>
    <w:rsid w:val="000C6A08"/>
    <w:rsid w:val="000C785D"/>
    <w:rsid w:val="000D18F7"/>
    <w:rsid w:val="000D4022"/>
    <w:rsid w:val="000D4C35"/>
    <w:rsid w:val="000D5AB8"/>
    <w:rsid w:val="000E3592"/>
    <w:rsid w:val="000E4C49"/>
    <w:rsid w:val="000F1335"/>
    <w:rsid w:val="000F2DE3"/>
    <w:rsid w:val="000F57A3"/>
    <w:rsid w:val="000F7242"/>
    <w:rsid w:val="0010025A"/>
    <w:rsid w:val="00117C92"/>
    <w:rsid w:val="00122856"/>
    <w:rsid w:val="00130847"/>
    <w:rsid w:val="00130DD7"/>
    <w:rsid w:val="0014105D"/>
    <w:rsid w:val="001415A7"/>
    <w:rsid w:val="0014524E"/>
    <w:rsid w:val="00150A84"/>
    <w:rsid w:val="00153DF0"/>
    <w:rsid w:val="001551C8"/>
    <w:rsid w:val="00156945"/>
    <w:rsid w:val="00156D0A"/>
    <w:rsid w:val="00164ED6"/>
    <w:rsid w:val="00171EF8"/>
    <w:rsid w:val="00184AF8"/>
    <w:rsid w:val="00190BBC"/>
    <w:rsid w:val="00191516"/>
    <w:rsid w:val="00194A9B"/>
    <w:rsid w:val="001A1A57"/>
    <w:rsid w:val="001A7CDC"/>
    <w:rsid w:val="001C0AB4"/>
    <w:rsid w:val="001C451D"/>
    <w:rsid w:val="001D1627"/>
    <w:rsid w:val="001D50E3"/>
    <w:rsid w:val="001D78EF"/>
    <w:rsid w:val="001E1D6A"/>
    <w:rsid w:val="001E66B6"/>
    <w:rsid w:val="001E7828"/>
    <w:rsid w:val="001F23BA"/>
    <w:rsid w:val="002100E5"/>
    <w:rsid w:val="0021714A"/>
    <w:rsid w:val="00221611"/>
    <w:rsid w:val="00225211"/>
    <w:rsid w:val="00225AA8"/>
    <w:rsid w:val="002279CF"/>
    <w:rsid w:val="002376D2"/>
    <w:rsid w:val="0024202C"/>
    <w:rsid w:val="00242C7F"/>
    <w:rsid w:val="00244483"/>
    <w:rsid w:val="00245F07"/>
    <w:rsid w:val="00264D94"/>
    <w:rsid w:val="00265FAA"/>
    <w:rsid w:val="002662EE"/>
    <w:rsid w:val="002677FD"/>
    <w:rsid w:val="002805E3"/>
    <w:rsid w:val="00283788"/>
    <w:rsid w:val="0028383D"/>
    <w:rsid w:val="00291AAE"/>
    <w:rsid w:val="002939FB"/>
    <w:rsid w:val="00294582"/>
    <w:rsid w:val="002A03A7"/>
    <w:rsid w:val="002A071D"/>
    <w:rsid w:val="002A6CFB"/>
    <w:rsid w:val="002B00DF"/>
    <w:rsid w:val="002B292A"/>
    <w:rsid w:val="002C43DE"/>
    <w:rsid w:val="002D5FCD"/>
    <w:rsid w:val="002E0AEB"/>
    <w:rsid w:val="00311897"/>
    <w:rsid w:val="003151D0"/>
    <w:rsid w:val="003163F9"/>
    <w:rsid w:val="0032282C"/>
    <w:rsid w:val="00335779"/>
    <w:rsid w:val="00337945"/>
    <w:rsid w:val="003432CC"/>
    <w:rsid w:val="00343EBE"/>
    <w:rsid w:val="003516FE"/>
    <w:rsid w:val="00357A06"/>
    <w:rsid w:val="003624DB"/>
    <w:rsid w:val="00377E8E"/>
    <w:rsid w:val="00380638"/>
    <w:rsid w:val="0038302B"/>
    <w:rsid w:val="00386001"/>
    <w:rsid w:val="00387B2B"/>
    <w:rsid w:val="003902C4"/>
    <w:rsid w:val="003934B9"/>
    <w:rsid w:val="003A5693"/>
    <w:rsid w:val="003B29F5"/>
    <w:rsid w:val="003B6202"/>
    <w:rsid w:val="003C1D24"/>
    <w:rsid w:val="003C4651"/>
    <w:rsid w:val="003D41D2"/>
    <w:rsid w:val="003D61B4"/>
    <w:rsid w:val="003D79C3"/>
    <w:rsid w:val="003F3BC7"/>
    <w:rsid w:val="00400AD5"/>
    <w:rsid w:val="00403E29"/>
    <w:rsid w:val="00406508"/>
    <w:rsid w:val="00415822"/>
    <w:rsid w:val="00422DDF"/>
    <w:rsid w:val="00423EF2"/>
    <w:rsid w:val="00435ED3"/>
    <w:rsid w:val="00437D7C"/>
    <w:rsid w:val="00442873"/>
    <w:rsid w:val="00445522"/>
    <w:rsid w:val="004459F7"/>
    <w:rsid w:val="00451C12"/>
    <w:rsid w:val="00471EAF"/>
    <w:rsid w:val="00472D2D"/>
    <w:rsid w:val="00481E81"/>
    <w:rsid w:val="004829C6"/>
    <w:rsid w:val="00497EAB"/>
    <w:rsid w:val="004A0F8B"/>
    <w:rsid w:val="004B70A2"/>
    <w:rsid w:val="004C7C9C"/>
    <w:rsid w:val="004D07BF"/>
    <w:rsid w:val="004D156B"/>
    <w:rsid w:val="004D19CE"/>
    <w:rsid w:val="004D1D47"/>
    <w:rsid w:val="004D4598"/>
    <w:rsid w:val="004D71C9"/>
    <w:rsid w:val="004E5FA4"/>
    <w:rsid w:val="004F2F22"/>
    <w:rsid w:val="004F437B"/>
    <w:rsid w:val="004F650C"/>
    <w:rsid w:val="005005EC"/>
    <w:rsid w:val="00500DCE"/>
    <w:rsid w:val="0050183B"/>
    <w:rsid w:val="00504523"/>
    <w:rsid w:val="00514772"/>
    <w:rsid w:val="0051526E"/>
    <w:rsid w:val="005256DD"/>
    <w:rsid w:val="00532EBE"/>
    <w:rsid w:val="00536327"/>
    <w:rsid w:val="005377CE"/>
    <w:rsid w:val="00544BA9"/>
    <w:rsid w:val="00544DF4"/>
    <w:rsid w:val="00557029"/>
    <w:rsid w:val="005660C7"/>
    <w:rsid w:val="0056766B"/>
    <w:rsid w:val="005738B0"/>
    <w:rsid w:val="0058328D"/>
    <w:rsid w:val="00587241"/>
    <w:rsid w:val="00587625"/>
    <w:rsid w:val="005A1062"/>
    <w:rsid w:val="005A1213"/>
    <w:rsid w:val="005A1866"/>
    <w:rsid w:val="005A31F4"/>
    <w:rsid w:val="005A3F5C"/>
    <w:rsid w:val="005B2584"/>
    <w:rsid w:val="005B351E"/>
    <w:rsid w:val="005B79F1"/>
    <w:rsid w:val="005C023D"/>
    <w:rsid w:val="005C77A4"/>
    <w:rsid w:val="005C7CE9"/>
    <w:rsid w:val="005D009F"/>
    <w:rsid w:val="005D3F6B"/>
    <w:rsid w:val="005D4F6F"/>
    <w:rsid w:val="005E3543"/>
    <w:rsid w:val="005F1BB8"/>
    <w:rsid w:val="005F36B4"/>
    <w:rsid w:val="005F707F"/>
    <w:rsid w:val="00620373"/>
    <w:rsid w:val="00623794"/>
    <w:rsid w:val="00625BDC"/>
    <w:rsid w:val="00626E3B"/>
    <w:rsid w:val="00632FD0"/>
    <w:rsid w:val="00633BB1"/>
    <w:rsid w:val="006366C9"/>
    <w:rsid w:val="00637EF9"/>
    <w:rsid w:val="00643310"/>
    <w:rsid w:val="00646C3E"/>
    <w:rsid w:val="00653B0D"/>
    <w:rsid w:val="00661EB1"/>
    <w:rsid w:val="006621D3"/>
    <w:rsid w:val="00672C3E"/>
    <w:rsid w:val="00675482"/>
    <w:rsid w:val="006828F1"/>
    <w:rsid w:val="00683A6E"/>
    <w:rsid w:val="006845E9"/>
    <w:rsid w:val="0068503B"/>
    <w:rsid w:val="00685471"/>
    <w:rsid w:val="006935B0"/>
    <w:rsid w:val="00695E4A"/>
    <w:rsid w:val="006B1562"/>
    <w:rsid w:val="006B5E1C"/>
    <w:rsid w:val="006D73DB"/>
    <w:rsid w:val="006E0A24"/>
    <w:rsid w:val="006E4A9A"/>
    <w:rsid w:val="006F5C3C"/>
    <w:rsid w:val="0071679D"/>
    <w:rsid w:val="00723E9D"/>
    <w:rsid w:val="0072422A"/>
    <w:rsid w:val="00726782"/>
    <w:rsid w:val="00732919"/>
    <w:rsid w:val="00732A66"/>
    <w:rsid w:val="00741A18"/>
    <w:rsid w:val="007433C1"/>
    <w:rsid w:val="00746818"/>
    <w:rsid w:val="00746E83"/>
    <w:rsid w:val="007521D4"/>
    <w:rsid w:val="00761F1B"/>
    <w:rsid w:val="00764EF0"/>
    <w:rsid w:val="00775F3E"/>
    <w:rsid w:val="0078694E"/>
    <w:rsid w:val="00790C76"/>
    <w:rsid w:val="0079128F"/>
    <w:rsid w:val="007920CA"/>
    <w:rsid w:val="00794582"/>
    <w:rsid w:val="007A262B"/>
    <w:rsid w:val="007A28AD"/>
    <w:rsid w:val="007D03E2"/>
    <w:rsid w:val="007D1D44"/>
    <w:rsid w:val="007D20CB"/>
    <w:rsid w:val="007D22EE"/>
    <w:rsid w:val="007D7061"/>
    <w:rsid w:val="007E1750"/>
    <w:rsid w:val="007F31BE"/>
    <w:rsid w:val="007F367B"/>
    <w:rsid w:val="007F6349"/>
    <w:rsid w:val="007F7C35"/>
    <w:rsid w:val="008217F5"/>
    <w:rsid w:val="00821A49"/>
    <w:rsid w:val="00824D5E"/>
    <w:rsid w:val="00835211"/>
    <w:rsid w:val="00840AFA"/>
    <w:rsid w:val="00842537"/>
    <w:rsid w:val="0085606C"/>
    <w:rsid w:val="00861D51"/>
    <w:rsid w:val="0087283A"/>
    <w:rsid w:val="008742B8"/>
    <w:rsid w:val="00883030"/>
    <w:rsid w:val="00883E17"/>
    <w:rsid w:val="0089459F"/>
    <w:rsid w:val="008965E4"/>
    <w:rsid w:val="008B3EA0"/>
    <w:rsid w:val="008B42A8"/>
    <w:rsid w:val="008B4ED3"/>
    <w:rsid w:val="008C59D4"/>
    <w:rsid w:val="008D3693"/>
    <w:rsid w:val="008E1138"/>
    <w:rsid w:val="008E1590"/>
    <w:rsid w:val="008E228A"/>
    <w:rsid w:val="008E41F5"/>
    <w:rsid w:val="008E44B3"/>
    <w:rsid w:val="008E55DC"/>
    <w:rsid w:val="008E6E50"/>
    <w:rsid w:val="008F05C4"/>
    <w:rsid w:val="009050C3"/>
    <w:rsid w:val="00905E71"/>
    <w:rsid w:val="00912B77"/>
    <w:rsid w:val="00912EFA"/>
    <w:rsid w:val="00914005"/>
    <w:rsid w:val="009161B9"/>
    <w:rsid w:val="00920441"/>
    <w:rsid w:val="0092211F"/>
    <w:rsid w:val="00926AB7"/>
    <w:rsid w:val="00933998"/>
    <w:rsid w:val="00933C87"/>
    <w:rsid w:val="00935CAD"/>
    <w:rsid w:val="009366F3"/>
    <w:rsid w:val="00941152"/>
    <w:rsid w:val="009434B4"/>
    <w:rsid w:val="0095114F"/>
    <w:rsid w:val="009524B7"/>
    <w:rsid w:val="00973430"/>
    <w:rsid w:val="00974350"/>
    <w:rsid w:val="00974628"/>
    <w:rsid w:val="009804B0"/>
    <w:rsid w:val="00980615"/>
    <w:rsid w:val="009924A4"/>
    <w:rsid w:val="00992E48"/>
    <w:rsid w:val="00993B8F"/>
    <w:rsid w:val="00996244"/>
    <w:rsid w:val="009A3B87"/>
    <w:rsid w:val="009A4261"/>
    <w:rsid w:val="009B1AE7"/>
    <w:rsid w:val="009B3A1C"/>
    <w:rsid w:val="009C3C9C"/>
    <w:rsid w:val="009C7BFF"/>
    <w:rsid w:val="009D503E"/>
    <w:rsid w:val="009D5049"/>
    <w:rsid w:val="009D50D4"/>
    <w:rsid w:val="009D5928"/>
    <w:rsid w:val="009D6807"/>
    <w:rsid w:val="009E0650"/>
    <w:rsid w:val="009E236B"/>
    <w:rsid w:val="00A05DB4"/>
    <w:rsid w:val="00A27736"/>
    <w:rsid w:val="00A31093"/>
    <w:rsid w:val="00A340BB"/>
    <w:rsid w:val="00A361C7"/>
    <w:rsid w:val="00A60B24"/>
    <w:rsid w:val="00A65B46"/>
    <w:rsid w:val="00A81548"/>
    <w:rsid w:val="00A817A5"/>
    <w:rsid w:val="00A82CEB"/>
    <w:rsid w:val="00A91AE2"/>
    <w:rsid w:val="00A922A3"/>
    <w:rsid w:val="00A97974"/>
    <w:rsid w:val="00AA064E"/>
    <w:rsid w:val="00AA2FB3"/>
    <w:rsid w:val="00AA7126"/>
    <w:rsid w:val="00AA7B06"/>
    <w:rsid w:val="00AB057A"/>
    <w:rsid w:val="00AC01AD"/>
    <w:rsid w:val="00AC33FF"/>
    <w:rsid w:val="00AC47A6"/>
    <w:rsid w:val="00AC7A9B"/>
    <w:rsid w:val="00AD4AE6"/>
    <w:rsid w:val="00AD69F3"/>
    <w:rsid w:val="00AD7066"/>
    <w:rsid w:val="00AE25CC"/>
    <w:rsid w:val="00AE2D4B"/>
    <w:rsid w:val="00AE4CDE"/>
    <w:rsid w:val="00AF2643"/>
    <w:rsid w:val="00AF6B5C"/>
    <w:rsid w:val="00B01654"/>
    <w:rsid w:val="00B03071"/>
    <w:rsid w:val="00B07C9B"/>
    <w:rsid w:val="00B24CAD"/>
    <w:rsid w:val="00B3292E"/>
    <w:rsid w:val="00B3556A"/>
    <w:rsid w:val="00B7278D"/>
    <w:rsid w:val="00B758A4"/>
    <w:rsid w:val="00B764F5"/>
    <w:rsid w:val="00B90C6A"/>
    <w:rsid w:val="00B922E7"/>
    <w:rsid w:val="00B96633"/>
    <w:rsid w:val="00BA2349"/>
    <w:rsid w:val="00BD3DDA"/>
    <w:rsid w:val="00BD6554"/>
    <w:rsid w:val="00BD6C17"/>
    <w:rsid w:val="00BE6B8F"/>
    <w:rsid w:val="00BE70B1"/>
    <w:rsid w:val="00BE7885"/>
    <w:rsid w:val="00BF0161"/>
    <w:rsid w:val="00BF0465"/>
    <w:rsid w:val="00BF2752"/>
    <w:rsid w:val="00C0030C"/>
    <w:rsid w:val="00C01234"/>
    <w:rsid w:val="00C02FFE"/>
    <w:rsid w:val="00C04C2E"/>
    <w:rsid w:val="00C16276"/>
    <w:rsid w:val="00C21A16"/>
    <w:rsid w:val="00C34DA2"/>
    <w:rsid w:val="00C35216"/>
    <w:rsid w:val="00C40F9D"/>
    <w:rsid w:val="00C52CB9"/>
    <w:rsid w:val="00C54017"/>
    <w:rsid w:val="00C54295"/>
    <w:rsid w:val="00C56183"/>
    <w:rsid w:val="00C57168"/>
    <w:rsid w:val="00C610C5"/>
    <w:rsid w:val="00C615EE"/>
    <w:rsid w:val="00C62F3E"/>
    <w:rsid w:val="00C631F0"/>
    <w:rsid w:val="00C65851"/>
    <w:rsid w:val="00C724B6"/>
    <w:rsid w:val="00C7255E"/>
    <w:rsid w:val="00C83071"/>
    <w:rsid w:val="00C848BB"/>
    <w:rsid w:val="00C86B4D"/>
    <w:rsid w:val="00C86B91"/>
    <w:rsid w:val="00C95169"/>
    <w:rsid w:val="00CB0E2E"/>
    <w:rsid w:val="00CB7E66"/>
    <w:rsid w:val="00CC232B"/>
    <w:rsid w:val="00CD2DCD"/>
    <w:rsid w:val="00CD4112"/>
    <w:rsid w:val="00CE0184"/>
    <w:rsid w:val="00CE1CF5"/>
    <w:rsid w:val="00CE614A"/>
    <w:rsid w:val="00CF3749"/>
    <w:rsid w:val="00D2035C"/>
    <w:rsid w:val="00D300EE"/>
    <w:rsid w:val="00D312BD"/>
    <w:rsid w:val="00D57C37"/>
    <w:rsid w:val="00D650EA"/>
    <w:rsid w:val="00D80A46"/>
    <w:rsid w:val="00D939E4"/>
    <w:rsid w:val="00DA003A"/>
    <w:rsid w:val="00DB171E"/>
    <w:rsid w:val="00DB1EA3"/>
    <w:rsid w:val="00DB4D88"/>
    <w:rsid w:val="00DB64FB"/>
    <w:rsid w:val="00DE2F2A"/>
    <w:rsid w:val="00DF3EBF"/>
    <w:rsid w:val="00DF6E06"/>
    <w:rsid w:val="00DF76EA"/>
    <w:rsid w:val="00E00B4E"/>
    <w:rsid w:val="00E04500"/>
    <w:rsid w:val="00E072C6"/>
    <w:rsid w:val="00E1293E"/>
    <w:rsid w:val="00E14259"/>
    <w:rsid w:val="00E154B2"/>
    <w:rsid w:val="00E25E7F"/>
    <w:rsid w:val="00E301CC"/>
    <w:rsid w:val="00E30289"/>
    <w:rsid w:val="00E317FA"/>
    <w:rsid w:val="00E40A1A"/>
    <w:rsid w:val="00E440DC"/>
    <w:rsid w:val="00E56D33"/>
    <w:rsid w:val="00E61724"/>
    <w:rsid w:val="00E6301B"/>
    <w:rsid w:val="00E64BB5"/>
    <w:rsid w:val="00E76B7E"/>
    <w:rsid w:val="00E83FC5"/>
    <w:rsid w:val="00E847D9"/>
    <w:rsid w:val="00E84D0E"/>
    <w:rsid w:val="00E916B1"/>
    <w:rsid w:val="00E92A53"/>
    <w:rsid w:val="00EA21E6"/>
    <w:rsid w:val="00EA7A51"/>
    <w:rsid w:val="00EB4B8A"/>
    <w:rsid w:val="00EB63EC"/>
    <w:rsid w:val="00EC4600"/>
    <w:rsid w:val="00ED348A"/>
    <w:rsid w:val="00ED68F1"/>
    <w:rsid w:val="00EE174D"/>
    <w:rsid w:val="00EE1FAD"/>
    <w:rsid w:val="00EE49DD"/>
    <w:rsid w:val="00EF0F47"/>
    <w:rsid w:val="00EF14DD"/>
    <w:rsid w:val="00EF3207"/>
    <w:rsid w:val="00EF51AC"/>
    <w:rsid w:val="00F059E6"/>
    <w:rsid w:val="00F05A8C"/>
    <w:rsid w:val="00F06AEE"/>
    <w:rsid w:val="00F07274"/>
    <w:rsid w:val="00F20590"/>
    <w:rsid w:val="00F308CA"/>
    <w:rsid w:val="00F314D3"/>
    <w:rsid w:val="00F3375C"/>
    <w:rsid w:val="00F33E06"/>
    <w:rsid w:val="00F4091B"/>
    <w:rsid w:val="00F40E72"/>
    <w:rsid w:val="00F42360"/>
    <w:rsid w:val="00F448C2"/>
    <w:rsid w:val="00F46123"/>
    <w:rsid w:val="00F51A62"/>
    <w:rsid w:val="00F621FA"/>
    <w:rsid w:val="00F62C09"/>
    <w:rsid w:val="00F65715"/>
    <w:rsid w:val="00F67197"/>
    <w:rsid w:val="00F717C3"/>
    <w:rsid w:val="00F73AD1"/>
    <w:rsid w:val="00F80C69"/>
    <w:rsid w:val="00F82F9B"/>
    <w:rsid w:val="00F83A37"/>
    <w:rsid w:val="00F86E56"/>
    <w:rsid w:val="00F87E09"/>
    <w:rsid w:val="00F96A91"/>
    <w:rsid w:val="00F97ABA"/>
    <w:rsid w:val="00F97DD7"/>
    <w:rsid w:val="00FA2830"/>
    <w:rsid w:val="00FA4BFE"/>
    <w:rsid w:val="00FB612F"/>
    <w:rsid w:val="00FC7CE3"/>
    <w:rsid w:val="00FE6FED"/>
    <w:rsid w:val="00FF43D6"/>
    <w:rsid w:val="00FF7C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14:docId w14:val="7AF59B71"/>
  <w15:docId w15:val="{5ECF1F9B-9D20-4D06-8269-6E58A31F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lang w:val="es-ES"/>
    </w:rPr>
  </w:style>
  <w:style w:type="paragraph" w:styleId="Ttulo1">
    <w:name w:val="heading 1"/>
    <w:basedOn w:val="Normal"/>
    <w:next w:val="Normal"/>
    <w:qFormat/>
    <w:pPr>
      <w:keepNext/>
      <w:tabs>
        <w:tab w:val="left" w:pos="3960"/>
        <w:tab w:val="left" w:pos="4770"/>
      </w:tabs>
      <w:outlineLvl w:val="0"/>
    </w:pPr>
    <w:rPr>
      <w:rFonts w:ascii="Times New Roman" w:hAnsi="Times New Roman"/>
      <w:sz w:val="24"/>
      <w:u w:val="single"/>
      <w:lang w:val="es-ES_tradnl"/>
    </w:rPr>
  </w:style>
  <w:style w:type="paragraph" w:styleId="Ttulo2">
    <w:name w:val="heading 2"/>
    <w:basedOn w:val="Normal"/>
    <w:next w:val="Normal"/>
    <w:qFormat/>
    <w:pPr>
      <w:keepNext/>
      <w:tabs>
        <w:tab w:val="left" w:pos="4820"/>
      </w:tabs>
      <w:ind w:right="-6"/>
      <w:outlineLvl w:val="1"/>
    </w:pPr>
    <w:rPr>
      <w:rFonts w:ascii="Times New Roman" w:hAnsi="Times New Roman"/>
      <w:sz w:val="24"/>
    </w:rPr>
  </w:style>
  <w:style w:type="paragraph" w:styleId="Ttulo3">
    <w:name w:val="heading 3"/>
    <w:basedOn w:val="Normal"/>
    <w:next w:val="Normal"/>
    <w:qFormat/>
    <w:pPr>
      <w:keepNext/>
      <w:tabs>
        <w:tab w:val="left" w:pos="3960"/>
        <w:tab w:val="left" w:pos="4770"/>
      </w:tabs>
      <w:ind w:left="270" w:hanging="270"/>
      <w:jc w:val="center"/>
      <w:outlineLvl w:val="2"/>
    </w:pPr>
    <w:rPr>
      <w:rFonts w:ascii="Times New Roman" w:hAnsi="Times New Roman"/>
      <w:b/>
      <w:sz w:val="24"/>
    </w:rPr>
  </w:style>
  <w:style w:type="paragraph" w:styleId="Ttulo4">
    <w:name w:val="heading 4"/>
    <w:basedOn w:val="Normal"/>
    <w:next w:val="Normal"/>
    <w:qFormat/>
    <w:pPr>
      <w:keepNext/>
      <w:tabs>
        <w:tab w:val="left" w:pos="3960"/>
        <w:tab w:val="left" w:pos="4770"/>
      </w:tabs>
      <w:ind w:firstLine="270"/>
      <w:jc w:val="center"/>
      <w:outlineLvl w:val="3"/>
    </w:pPr>
    <w:rPr>
      <w:rFonts w:ascii="Times New Roman" w:hAnsi="Times New Roman"/>
      <w:b/>
      <w:sz w:val="24"/>
    </w:rPr>
  </w:style>
  <w:style w:type="paragraph" w:styleId="Ttulo5">
    <w:name w:val="heading 5"/>
    <w:basedOn w:val="Normal"/>
    <w:next w:val="Normal"/>
    <w:qFormat/>
    <w:pPr>
      <w:keepNext/>
      <w:tabs>
        <w:tab w:val="num" w:pos="851"/>
      </w:tabs>
      <w:ind w:hanging="420"/>
      <w:jc w:val="center"/>
      <w:outlineLvl w:val="4"/>
    </w:pPr>
    <w:rPr>
      <w:rFonts w:ascii="Times New Roman" w:hAnsi="Times New Roman"/>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rFonts w:ascii="Times New Roman" w:hAnsi="Times New Roman"/>
      <w:sz w:val="20"/>
    </w:rPr>
  </w:style>
  <w:style w:type="paragraph" w:customStyle="1" w:styleId="Epgrafe1">
    <w:name w:val="Epígrafe1"/>
    <w:basedOn w:val="Normal"/>
    <w:next w:val="Normal"/>
    <w:qFormat/>
    <w:pPr>
      <w:jc w:val="center"/>
    </w:pPr>
    <w:rPr>
      <w:rFonts w:ascii="Times New Roman" w:hAnsi="Times New Roman"/>
      <w:b/>
      <w:sz w:val="24"/>
      <w:lang w:val="es-ES_tradnl"/>
    </w:rPr>
  </w:style>
  <w:style w:type="paragraph" w:styleId="Textoindependiente">
    <w:name w:val="Body Text"/>
    <w:basedOn w:val="Normal"/>
    <w:pPr>
      <w:tabs>
        <w:tab w:val="left" w:pos="3960"/>
        <w:tab w:val="left" w:pos="4770"/>
      </w:tabs>
      <w:jc w:val="both"/>
    </w:pPr>
    <w:rPr>
      <w:rFonts w:ascii="Times New Roman" w:hAnsi="Times New Roman"/>
      <w:sz w:val="24"/>
      <w:lang w:val="es-ES_tradnl"/>
    </w:rPr>
  </w:style>
  <w:style w:type="paragraph" w:styleId="Sangradetextonormal">
    <w:name w:val="Body Text Indent"/>
    <w:basedOn w:val="Normal"/>
    <w:pPr>
      <w:tabs>
        <w:tab w:val="left" w:pos="5387"/>
      </w:tabs>
      <w:ind w:left="6096" w:hanging="6096"/>
      <w:jc w:val="both"/>
    </w:pPr>
  </w:style>
  <w:style w:type="paragraph" w:styleId="Textoindependiente2">
    <w:name w:val="Body Text 2"/>
    <w:basedOn w:val="Normal"/>
    <w:pPr>
      <w:tabs>
        <w:tab w:val="left" w:pos="426"/>
        <w:tab w:val="left" w:pos="1134"/>
        <w:tab w:val="left" w:pos="5387"/>
      </w:tabs>
      <w:ind w:right="-6"/>
      <w:jc w:val="both"/>
    </w:pPr>
    <w:rPr>
      <w:rFonts w:ascii="Times New Roman" w:hAnsi="Times New Roman"/>
      <w:sz w:val="24"/>
    </w:rPr>
  </w:style>
  <w:style w:type="paragraph" w:styleId="Sangra2detindependiente">
    <w:name w:val="Body Text Indent 2"/>
    <w:basedOn w:val="Normal"/>
    <w:pPr>
      <w:tabs>
        <w:tab w:val="left" w:pos="3960"/>
        <w:tab w:val="left" w:pos="4770"/>
      </w:tabs>
      <w:ind w:left="5529" w:hanging="709"/>
    </w:pPr>
    <w:rPr>
      <w:rFonts w:ascii="Times New Roman" w:hAnsi="Times New Roman"/>
      <w:sz w:val="24"/>
    </w:rPr>
  </w:style>
  <w:style w:type="paragraph" w:styleId="Sangra3detindependiente">
    <w:name w:val="Body Text Indent 3"/>
    <w:basedOn w:val="Normal"/>
    <w:pPr>
      <w:ind w:left="1270" w:hanging="562"/>
      <w:jc w:val="both"/>
    </w:pPr>
    <w:rPr>
      <w:rFonts w:ascii="Times New Roman" w:hAnsi="Times New Roman"/>
      <w:sz w:val="24"/>
    </w:rPr>
  </w:style>
  <w:style w:type="paragraph" w:styleId="Textonotapie">
    <w:name w:val="footnote text"/>
    <w:basedOn w:val="Normal"/>
    <w:semiHidden/>
    <w:rsid w:val="009E236B"/>
    <w:rPr>
      <w:sz w:val="20"/>
    </w:rPr>
  </w:style>
  <w:style w:type="character" w:styleId="Refdenotaalpie">
    <w:name w:val="footnote reference"/>
    <w:semiHidden/>
    <w:rsid w:val="009E236B"/>
    <w:rPr>
      <w:vertAlign w:val="superscript"/>
    </w:rPr>
  </w:style>
  <w:style w:type="paragraph" w:styleId="Textodeglobo">
    <w:name w:val="Balloon Text"/>
    <w:basedOn w:val="Normal"/>
    <w:semiHidden/>
    <w:rsid w:val="00EF3207"/>
    <w:rPr>
      <w:rFonts w:ascii="Tahoma" w:hAnsi="Tahoma" w:cs="Tahoma"/>
      <w:sz w:val="16"/>
      <w:szCs w:val="16"/>
    </w:rPr>
  </w:style>
  <w:style w:type="paragraph" w:styleId="Piedepgina">
    <w:name w:val="footer"/>
    <w:basedOn w:val="Normal"/>
    <w:link w:val="PiedepginaCar"/>
    <w:uiPriority w:val="99"/>
    <w:rsid w:val="00030F83"/>
    <w:pPr>
      <w:tabs>
        <w:tab w:val="center" w:pos="4252"/>
        <w:tab w:val="right" w:pos="8504"/>
      </w:tabs>
    </w:pPr>
  </w:style>
  <w:style w:type="character" w:styleId="Nmerodepgina">
    <w:name w:val="page number"/>
    <w:basedOn w:val="Fuentedeprrafopredeter"/>
    <w:rsid w:val="00030F83"/>
  </w:style>
  <w:style w:type="paragraph" w:styleId="Prrafodelista">
    <w:name w:val="List Paragraph"/>
    <w:aliases w:val="lp1"/>
    <w:basedOn w:val="Normal"/>
    <w:link w:val="PrrafodelistaCar"/>
    <w:uiPriority w:val="34"/>
    <w:qFormat/>
    <w:rsid w:val="00EC4600"/>
    <w:pPr>
      <w:ind w:left="720"/>
      <w:contextualSpacing/>
    </w:pPr>
    <w:rPr>
      <w:rFonts w:ascii="Times New Roman" w:hAnsi="Times New Roman"/>
      <w:sz w:val="24"/>
      <w:szCs w:val="24"/>
      <w:lang w:val="es-CL"/>
    </w:rPr>
  </w:style>
  <w:style w:type="character" w:styleId="nfasis">
    <w:name w:val="Emphasis"/>
    <w:qFormat/>
    <w:rsid w:val="0058328D"/>
    <w:rPr>
      <w:i/>
      <w:iCs/>
    </w:rPr>
  </w:style>
  <w:style w:type="paragraph" w:styleId="Subttulo">
    <w:name w:val="Subtitle"/>
    <w:basedOn w:val="Normal"/>
    <w:next w:val="Normal"/>
    <w:link w:val="SubttuloCar"/>
    <w:qFormat/>
    <w:rsid w:val="0058328D"/>
    <w:pPr>
      <w:spacing w:after="60"/>
      <w:jc w:val="center"/>
      <w:outlineLvl w:val="1"/>
    </w:pPr>
    <w:rPr>
      <w:rFonts w:ascii="Cambria" w:hAnsi="Cambria"/>
      <w:sz w:val="24"/>
      <w:szCs w:val="24"/>
    </w:rPr>
  </w:style>
  <w:style w:type="character" w:customStyle="1" w:styleId="SubttuloCar">
    <w:name w:val="Subtítulo Car"/>
    <w:link w:val="Subttulo"/>
    <w:rsid w:val="0058328D"/>
    <w:rPr>
      <w:rFonts w:ascii="Cambria" w:eastAsia="Times New Roman" w:hAnsi="Cambria" w:cs="Times New Roman"/>
      <w:sz w:val="24"/>
      <w:szCs w:val="24"/>
      <w:lang w:val="es-ES"/>
    </w:rPr>
  </w:style>
  <w:style w:type="character" w:styleId="Textoennegrita">
    <w:name w:val="Strong"/>
    <w:qFormat/>
    <w:rsid w:val="0058328D"/>
    <w:rPr>
      <w:b/>
      <w:bCs/>
    </w:rPr>
  </w:style>
  <w:style w:type="character" w:styleId="Refdecomentario">
    <w:name w:val="annotation reference"/>
    <w:rsid w:val="002939FB"/>
    <w:rPr>
      <w:sz w:val="16"/>
      <w:szCs w:val="16"/>
    </w:rPr>
  </w:style>
  <w:style w:type="paragraph" w:styleId="Textocomentario">
    <w:name w:val="annotation text"/>
    <w:basedOn w:val="Normal"/>
    <w:link w:val="TextocomentarioCar"/>
    <w:rsid w:val="002939FB"/>
    <w:rPr>
      <w:sz w:val="20"/>
    </w:rPr>
  </w:style>
  <w:style w:type="character" w:customStyle="1" w:styleId="TextocomentarioCar">
    <w:name w:val="Texto comentario Car"/>
    <w:link w:val="Textocomentario"/>
    <w:rsid w:val="002939FB"/>
    <w:rPr>
      <w:rFonts w:ascii="Arial" w:hAnsi="Arial"/>
      <w:lang w:val="es-ES"/>
    </w:rPr>
  </w:style>
  <w:style w:type="paragraph" w:styleId="Asuntodelcomentario">
    <w:name w:val="annotation subject"/>
    <w:basedOn w:val="Textocomentario"/>
    <w:next w:val="Textocomentario"/>
    <w:link w:val="AsuntodelcomentarioCar"/>
    <w:rsid w:val="002939FB"/>
    <w:rPr>
      <w:b/>
      <w:bCs/>
    </w:rPr>
  </w:style>
  <w:style w:type="character" w:customStyle="1" w:styleId="AsuntodelcomentarioCar">
    <w:name w:val="Asunto del comentario Car"/>
    <w:link w:val="Asuntodelcomentario"/>
    <w:rsid w:val="002939FB"/>
    <w:rPr>
      <w:rFonts w:ascii="Arial" w:hAnsi="Arial"/>
      <w:b/>
      <w:bCs/>
      <w:lang w:val="es-ES"/>
    </w:rPr>
  </w:style>
  <w:style w:type="character" w:customStyle="1" w:styleId="EncabezadoCar">
    <w:name w:val="Encabezado Car"/>
    <w:link w:val="Encabezado"/>
    <w:rsid w:val="0068503B"/>
    <w:rPr>
      <w:lang w:val="es-ES"/>
    </w:rPr>
  </w:style>
  <w:style w:type="character" w:customStyle="1" w:styleId="PiedepginaCar">
    <w:name w:val="Pie de página Car"/>
    <w:link w:val="Piedepgina"/>
    <w:uiPriority w:val="99"/>
    <w:rsid w:val="0068503B"/>
    <w:rPr>
      <w:rFonts w:ascii="Arial" w:hAnsi="Arial"/>
      <w:sz w:val="22"/>
      <w:lang w:val="es-ES"/>
    </w:rPr>
  </w:style>
  <w:style w:type="paragraph" w:styleId="TDC1">
    <w:name w:val="toc 1"/>
    <w:basedOn w:val="Normal"/>
    <w:next w:val="Normal"/>
    <w:autoRedefine/>
    <w:uiPriority w:val="39"/>
    <w:unhideWhenUsed/>
    <w:rsid w:val="009161B9"/>
    <w:pPr>
      <w:widowControl w:val="0"/>
      <w:tabs>
        <w:tab w:val="right" w:leader="dot" w:pos="9923"/>
      </w:tabs>
      <w:spacing w:after="100"/>
      <w:ind w:right="163"/>
    </w:pPr>
    <w:rPr>
      <w:rFonts w:eastAsia="Calibri" w:cs="Arial"/>
      <w:b/>
      <w:noProof/>
      <w:lang w:val="es-CL" w:eastAsia="en-US"/>
    </w:rPr>
  </w:style>
  <w:style w:type="character" w:styleId="Hipervnculo">
    <w:name w:val="Hyperlink"/>
    <w:uiPriority w:val="99"/>
    <w:unhideWhenUsed/>
    <w:rsid w:val="0068503B"/>
    <w:rPr>
      <w:color w:val="0000FF"/>
      <w:u w:val="single"/>
    </w:rPr>
  </w:style>
  <w:style w:type="paragraph" w:customStyle="1" w:styleId="Style1">
    <w:name w:val="Style 1"/>
    <w:basedOn w:val="Normal"/>
    <w:uiPriority w:val="99"/>
    <w:rsid w:val="0038302B"/>
    <w:pPr>
      <w:widowControl w:val="0"/>
      <w:autoSpaceDE w:val="0"/>
      <w:autoSpaceDN w:val="0"/>
      <w:adjustRightInd w:val="0"/>
    </w:pPr>
    <w:rPr>
      <w:rFonts w:ascii="Times New Roman" w:eastAsiaTheme="minorEastAsia" w:hAnsi="Times New Roman"/>
      <w:sz w:val="20"/>
      <w:lang w:val="en-US"/>
    </w:rPr>
  </w:style>
  <w:style w:type="character" w:customStyle="1" w:styleId="CharacterStyle2">
    <w:name w:val="Character Style 2"/>
    <w:uiPriority w:val="99"/>
    <w:rsid w:val="0038302B"/>
    <w:rPr>
      <w:sz w:val="20"/>
      <w:szCs w:val="20"/>
    </w:rPr>
  </w:style>
  <w:style w:type="table" w:customStyle="1" w:styleId="TableNormal">
    <w:name w:val="Table Normal"/>
    <w:uiPriority w:val="2"/>
    <w:semiHidden/>
    <w:unhideWhenUsed/>
    <w:qFormat/>
    <w:rsid w:val="006433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3310"/>
    <w:pPr>
      <w:widowControl w:val="0"/>
      <w:autoSpaceDE w:val="0"/>
      <w:autoSpaceDN w:val="0"/>
      <w:spacing w:line="113" w:lineRule="exact"/>
      <w:jc w:val="right"/>
    </w:pPr>
    <w:rPr>
      <w:rFonts w:ascii="Calibri" w:eastAsia="Calibri" w:hAnsi="Calibri" w:cs="Calibri"/>
      <w:szCs w:val="22"/>
      <w:lang w:val="en-US" w:eastAsia="en-US"/>
    </w:rPr>
  </w:style>
  <w:style w:type="paragraph" w:customStyle="1" w:styleId="2">
    <w:name w:val="2"/>
    <w:basedOn w:val="Normal"/>
    <w:rsid w:val="00190BBC"/>
    <w:pPr>
      <w:tabs>
        <w:tab w:val="left" w:pos="1019"/>
        <w:tab w:val="left" w:pos="3695"/>
      </w:tabs>
      <w:ind w:left="560" w:hanging="560"/>
      <w:jc w:val="both"/>
    </w:pPr>
    <w:rPr>
      <w:rFonts w:ascii="Courier" w:hAnsi="Courier"/>
      <w:sz w:val="24"/>
      <w:lang w:val="es-ES_tradnl" w:eastAsia="es-ES"/>
    </w:rPr>
  </w:style>
  <w:style w:type="character" w:customStyle="1" w:styleId="PrrafodelistaCar">
    <w:name w:val="Párrafo de lista Car"/>
    <w:aliases w:val="lp1 Car"/>
    <w:link w:val="Prrafodelista"/>
    <w:uiPriority w:val="34"/>
    <w:locked/>
    <w:rsid w:val="00190BBC"/>
    <w:rPr>
      <w:sz w:val="24"/>
      <w:szCs w:val="24"/>
    </w:rPr>
  </w:style>
  <w:style w:type="paragraph" w:styleId="Textodebloque">
    <w:name w:val="Block Text"/>
    <w:basedOn w:val="Normal"/>
    <w:rsid w:val="00084B13"/>
    <w:pPr>
      <w:ind w:left="5477" w:right="488" w:hanging="799"/>
      <w:jc w:val="both"/>
    </w:pPr>
    <w:rPr>
      <w:rFonts w:ascii="Times New Roman" w:hAnsi="Times New Roman"/>
      <w:sz w:val="24"/>
      <w:lang w:eastAsia="es-ES"/>
    </w:rPr>
  </w:style>
  <w:style w:type="table" w:styleId="Tablaconcuadrcula">
    <w:name w:val="Table Grid"/>
    <w:basedOn w:val="Tablanormal"/>
    <w:uiPriority w:val="39"/>
    <w:rsid w:val="00225211"/>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7470">
      <w:bodyDiv w:val="1"/>
      <w:marLeft w:val="0"/>
      <w:marRight w:val="0"/>
      <w:marTop w:val="0"/>
      <w:marBottom w:val="0"/>
      <w:divBdr>
        <w:top w:val="none" w:sz="0" w:space="0" w:color="auto"/>
        <w:left w:val="none" w:sz="0" w:space="0" w:color="auto"/>
        <w:bottom w:val="none" w:sz="0" w:space="0" w:color="auto"/>
        <w:right w:val="none" w:sz="0" w:space="0" w:color="auto"/>
      </w:divBdr>
      <w:divsChild>
        <w:div w:id="320619224">
          <w:marLeft w:val="547"/>
          <w:marRight w:val="0"/>
          <w:marTop w:val="77"/>
          <w:marBottom w:val="0"/>
          <w:divBdr>
            <w:top w:val="none" w:sz="0" w:space="0" w:color="auto"/>
            <w:left w:val="none" w:sz="0" w:space="0" w:color="auto"/>
            <w:bottom w:val="none" w:sz="0" w:space="0" w:color="auto"/>
            <w:right w:val="none" w:sz="0" w:space="0" w:color="auto"/>
          </w:divBdr>
        </w:div>
        <w:div w:id="397629773">
          <w:marLeft w:val="547"/>
          <w:marRight w:val="0"/>
          <w:marTop w:val="77"/>
          <w:marBottom w:val="0"/>
          <w:divBdr>
            <w:top w:val="none" w:sz="0" w:space="0" w:color="auto"/>
            <w:left w:val="none" w:sz="0" w:space="0" w:color="auto"/>
            <w:bottom w:val="none" w:sz="0" w:space="0" w:color="auto"/>
            <w:right w:val="none" w:sz="0" w:space="0" w:color="auto"/>
          </w:divBdr>
        </w:div>
        <w:div w:id="931930617">
          <w:marLeft w:val="547"/>
          <w:marRight w:val="0"/>
          <w:marTop w:val="77"/>
          <w:marBottom w:val="0"/>
          <w:divBdr>
            <w:top w:val="none" w:sz="0" w:space="0" w:color="auto"/>
            <w:left w:val="none" w:sz="0" w:space="0" w:color="auto"/>
            <w:bottom w:val="none" w:sz="0" w:space="0" w:color="auto"/>
            <w:right w:val="none" w:sz="0" w:space="0" w:color="auto"/>
          </w:divBdr>
        </w:div>
        <w:div w:id="1022364893">
          <w:marLeft w:val="547"/>
          <w:marRight w:val="0"/>
          <w:marTop w:val="77"/>
          <w:marBottom w:val="0"/>
          <w:divBdr>
            <w:top w:val="none" w:sz="0" w:space="0" w:color="auto"/>
            <w:left w:val="none" w:sz="0" w:space="0" w:color="auto"/>
            <w:bottom w:val="none" w:sz="0" w:space="0" w:color="auto"/>
            <w:right w:val="none" w:sz="0" w:space="0" w:color="auto"/>
          </w:divBdr>
        </w:div>
      </w:divsChild>
    </w:div>
    <w:div w:id="417796831">
      <w:bodyDiv w:val="1"/>
      <w:marLeft w:val="0"/>
      <w:marRight w:val="0"/>
      <w:marTop w:val="0"/>
      <w:marBottom w:val="0"/>
      <w:divBdr>
        <w:top w:val="none" w:sz="0" w:space="0" w:color="auto"/>
        <w:left w:val="none" w:sz="0" w:space="0" w:color="auto"/>
        <w:bottom w:val="none" w:sz="0" w:space="0" w:color="auto"/>
        <w:right w:val="none" w:sz="0" w:space="0" w:color="auto"/>
      </w:divBdr>
    </w:div>
    <w:div w:id="495996716">
      <w:bodyDiv w:val="1"/>
      <w:marLeft w:val="0"/>
      <w:marRight w:val="0"/>
      <w:marTop w:val="0"/>
      <w:marBottom w:val="0"/>
      <w:divBdr>
        <w:top w:val="none" w:sz="0" w:space="0" w:color="auto"/>
        <w:left w:val="none" w:sz="0" w:space="0" w:color="auto"/>
        <w:bottom w:val="none" w:sz="0" w:space="0" w:color="auto"/>
        <w:right w:val="none" w:sz="0" w:space="0" w:color="auto"/>
      </w:divBdr>
    </w:div>
    <w:div w:id="621885611">
      <w:bodyDiv w:val="1"/>
      <w:marLeft w:val="0"/>
      <w:marRight w:val="0"/>
      <w:marTop w:val="0"/>
      <w:marBottom w:val="0"/>
      <w:divBdr>
        <w:top w:val="none" w:sz="0" w:space="0" w:color="auto"/>
        <w:left w:val="none" w:sz="0" w:space="0" w:color="auto"/>
        <w:bottom w:val="none" w:sz="0" w:space="0" w:color="auto"/>
        <w:right w:val="none" w:sz="0" w:space="0" w:color="auto"/>
      </w:divBdr>
    </w:div>
    <w:div w:id="988094805">
      <w:bodyDiv w:val="1"/>
      <w:marLeft w:val="0"/>
      <w:marRight w:val="0"/>
      <w:marTop w:val="0"/>
      <w:marBottom w:val="0"/>
      <w:divBdr>
        <w:top w:val="none" w:sz="0" w:space="0" w:color="auto"/>
        <w:left w:val="none" w:sz="0" w:space="0" w:color="auto"/>
        <w:bottom w:val="none" w:sz="0" w:space="0" w:color="auto"/>
        <w:right w:val="none" w:sz="0" w:space="0" w:color="auto"/>
      </w:divBdr>
      <w:divsChild>
        <w:div w:id="549000385">
          <w:marLeft w:val="0"/>
          <w:marRight w:val="0"/>
          <w:marTop w:val="0"/>
          <w:marBottom w:val="0"/>
          <w:divBdr>
            <w:top w:val="none" w:sz="0" w:space="0" w:color="auto"/>
            <w:left w:val="none" w:sz="0" w:space="0" w:color="auto"/>
            <w:bottom w:val="none" w:sz="0" w:space="0" w:color="auto"/>
            <w:right w:val="none" w:sz="0" w:space="0" w:color="auto"/>
          </w:divBdr>
        </w:div>
      </w:divsChild>
    </w:div>
    <w:div w:id="1326595725">
      <w:bodyDiv w:val="1"/>
      <w:marLeft w:val="0"/>
      <w:marRight w:val="0"/>
      <w:marTop w:val="0"/>
      <w:marBottom w:val="0"/>
      <w:divBdr>
        <w:top w:val="none" w:sz="0" w:space="0" w:color="auto"/>
        <w:left w:val="none" w:sz="0" w:space="0" w:color="auto"/>
        <w:bottom w:val="none" w:sz="0" w:space="0" w:color="auto"/>
        <w:right w:val="none" w:sz="0" w:space="0" w:color="auto"/>
      </w:divBdr>
      <w:divsChild>
        <w:div w:id="1045641085">
          <w:marLeft w:val="0"/>
          <w:marRight w:val="0"/>
          <w:marTop w:val="0"/>
          <w:marBottom w:val="0"/>
          <w:divBdr>
            <w:top w:val="none" w:sz="0" w:space="0" w:color="auto"/>
            <w:left w:val="none" w:sz="0" w:space="0" w:color="auto"/>
            <w:bottom w:val="none" w:sz="0" w:space="0" w:color="auto"/>
            <w:right w:val="none" w:sz="0" w:space="0" w:color="auto"/>
          </w:divBdr>
        </w:div>
      </w:divsChild>
    </w:div>
    <w:div w:id="1880311998">
      <w:bodyDiv w:val="1"/>
      <w:marLeft w:val="0"/>
      <w:marRight w:val="0"/>
      <w:marTop w:val="0"/>
      <w:marBottom w:val="0"/>
      <w:divBdr>
        <w:top w:val="none" w:sz="0" w:space="0" w:color="auto"/>
        <w:left w:val="none" w:sz="0" w:space="0" w:color="auto"/>
        <w:bottom w:val="none" w:sz="0" w:space="0" w:color="auto"/>
        <w:right w:val="none" w:sz="0" w:space="0" w:color="auto"/>
      </w:divBdr>
      <w:divsChild>
        <w:div w:id="404763835">
          <w:marLeft w:val="0"/>
          <w:marRight w:val="0"/>
          <w:marTop w:val="0"/>
          <w:marBottom w:val="0"/>
          <w:divBdr>
            <w:top w:val="none" w:sz="0" w:space="0" w:color="auto"/>
            <w:left w:val="none" w:sz="0" w:space="0" w:color="auto"/>
            <w:bottom w:val="none" w:sz="0" w:space="0" w:color="auto"/>
            <w:right w:val="none" w:sz="0" w:space="0" w:color="auto"/>
          </w:divBdr>
        </w:div>
      </w:divsChild>
    </w:div>
    <w:div w:id="191531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FC25-93DE-454F-84B3-3C41B1B5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3148</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3713</CharactersWithSpaces>
  <SharedDoc>false</SharedDoc>
  <HLinks>
    <vt:vector size="36" baseType="variant">
      <vt:variant>
        <vt:i4>1572914</vt:i4>
      </vt:variant>
      <vt:variant>
        <vt:i4>32</vt:i4>
      </vt:variant>
      <vt:variant>
        <vt:i4>0</vt:i4>
      </vt:variant>
      <vt:variant>
        <vt:i4>5</vt:i4>
      </vt:variant>
      <vt:variant>
        <vt:lpwstr/>
      </vt:variant>
      <vt:variant>
        <vt:lpwstr>_Toc462904441</vt:lpwstr>
      </vt:variant>
      <vt:variant>
        <vt:i4>1572914</vt:i4>
      </vt:variant>
      <vt:variant>
        <vt:i4>26</vt:i4>
      </vt:variant>
      <vt:variant>
        <vt:i4>0</vt:i4>
      </vt:variant>
      <vt:variant>
        <vt:i4>5</vt:i4>
      </vt:variant>
      <vt:variant>
        <vt:lpwstr/>
      </vt:variant>
      <vt:variant>
        <vt:lpwstr>_Toc462904440</vt:lpwstr>
      </vt:variant>
      <vt:variant>
        <vt:i4>2031666</vt:i4>
      </vt:variant>
      <vt:variant>
        <vt:i4>20</vt:i4>
      </vt:variant>
      <vt:variant>
        <vt:i4>0</vt:i4>
      </vt:variant>
      <vt:variant>
        <vt:i4>5</vt:i4>
      </vt:variant>
      <vt:variant>
        <vt:lpwstr/>
      </vt:variant>
      <vt:variant>
        <vt:lpwstr>_Toc462904436</vt:lpwstr>
      </vt:variant>
      <vt:variant>
        <vt:i4>2031666</vt:i4>
      </vt:variant>
      <vt:variant>
        <vt:i4>14</vt:i4>
      </vt:variant>
      <vt:variant>
        <vt:i4>0</vt:i4>
      </vt:variant>
      <vt:variant>
        <vt:i4>5</vt:i4>
      </vt:variant>
      <vt:variant>
        <vt:lpwstr/>
      </vt:variant>
      <vt:variant>
        <vt:lpwstr>_Toc462904435</vt:lpwstr>
      </vt:variant>
      <vt:variant>
        <vt:i4>2031666</vt:i4>
      </vt:variant>
      <vt:variant>
        <vt:i4>8</vt:i4>
      </vt:variant>
      <vt:variant>
        <vt:i4>0</vt:i4>
      </vt:variant>
      <vt:variant>
        <vt:i4>5</vt:i4>
      </vt:variant>
      <vt:variant>
        <vt:lpwstr/>
      </vt:variant>
      <vt:variant>
        <vt:lpwstr>_Toc462904434</vt:lpwstr>
      </vt:variant>
      <vt:variant>
        <vt:i4>2031666</vt:i4>
      </vt:variant>
      <vt:variant>
        <vt:i4>2</vt:i4>
      </vt:variant>
      <vt:variant>
        <vt:i4>0</vt:i4>
      </vt:variant>
      <vt:variant>
        <vt:i4>5</vt:i4>
      </vt:variant>
      <vt:variant>
        <vt:lpwstr/>
      </vt:variant>
      <vt:variant>
        <vt:lpwstr>_Toc462904433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cmargulis@bcentral.cl</dc:creator>
  <cp:lastModifiedBy>Iván Araya R.</cp:lastModifiedBy>
  <cp:revision>2</cp:revision>
  <cp:lastPrinted>2020-07-14T22:57:00Z</cp:lastPrinted>
  <dcterms:created xsi:type="dcterms:W3CDTF">2020-12-04T18:26:00Z</dcterms:created>
  <dcterms:modified xsi:type="dcterms:W3CDTF">2020-12-04T18:26:00Z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SGE-PAC-081246</vt:lpwstr>
  </property>
  <property fmtid="{D5CDD505-2E9C-101B-9397-08002B2CF9AE}" pid="3" name="DISProperties">
    <vt:lpwstr>DISdDocName,DIScgiUrl,DISdUser,DISdID,DISidcName,DISTaskPaneUrl</vt:lpwstr>
  </property>
  <property fmtid="{D5CDD505-2E9C-101B-9397-08002B2CF9AE}" pid="4" name="DIScgiUrl">
    <vt:lpwstr>http://adoc-ucm/cs/idcplg</vt:lpwstr>
  </property>
  <property fmtid="{D5CDD505-2E9C-101B-9397-08002B2CF9AE}" pid="5" name="DISdUser">
    <vt:lpwstr>malvarez</vt:lpwstr>
  </property>
  <property fmtid="{D5CDD505-2E9C-101B-9397-08002B2CF9AE}" pid="6" name="DISdID">
    <vt:lpwstr>230434</vt:lpwstr>
  </property>
  <property fmtid="{D5CDD505-2E9C-101B-9397-08002B2CF9AE}" pid="7" name="DISidcName">
    <vt:lpwstr>WCCDOC_Ucm1</vt:lpwstr>
  </property>
  <property fmtid="{D5CDD505-2E9C-101B-9397-08002B2CF9AE}" pid="8" name="DISTaskPaneUrl">
    <vt:lpwstr>http://adoc-ucm/cs/idcplg?IdcService=DESKTOP_DOC_INFO&amp;dDocName=SGE-PAC-081246&amp;dID=230434&amp;ClientControlled=DocMan,taskpane&amp;coreContentOnly=1</vt:lpwstr>
  </property>
  <property fmtid="{D5CDD505-2E9C-101B-9397-08002B2CF9AE}" pid="9" name="MSIP_Label_6f509eeb-56d7-4078-8c25-542621925144_Enabled">
    <vt:lpwstr>true</vt:lpwstr>
  </property>
  <property fmtid="{D5CDD505-2E9C-101B-9397-08002B2CF9AE}" pid="10" name="MSIP_Label_6f509eeb-56d7-4078-8c25-542621925144_SetDate">
    <vt:lpwstr>2020-11-18T23:21:59Z</vt:lpwstr>
  </property>
  <property fmtid="{D5CDD505-2E9C-101B-9397-08002B2CF9AE}" pid="11" name="MSIP_Label_6f509eeb-56d7-4078-8c25-542621925144_Method">
    <vt:lpwstr>Standard</vt:lpwstr>
  </property>
  <property fmtid="{D5CDD505-2E9C-101B-9397-08002B2CF9AE}" pid="12" name="MSIP_Label_6f509eeb-56d7-4078-8c25-542621925144_Name">
    <vt:lpwstr>Uso Interno</vt:lpwstr>
  </property>
  <property fmtid="{D5CDD505-2E9C-101B-9397-08002B2CF9AE}" pid="13" name="MSIP_Label_6f509eeb-56d7-4078-8c25-542621925144_SiteId">
    <vt:lpwstr>d1bf4087-52c2-42b9-913e-a262f9f83199</vt:lpwstr>
  </property>
  <property fmtid="{D5CDD505-2E9C-101B-9397-08002B2CF9AE}" pid="14" name="MSIP_Label_6f509eeb-56d7-4078-8c25-542621925144_ActionId">
    <vt:lpwstr>06f0c7d7-1c77-4c2a-bf98-0a7c46d70081</vt:lpwstr>
  </property>
  <property fmtid="{D5CDD505-2E9C-101B-9397-08002B2CF9AE}" pid="15" name="MSIP_Label_6f509eeb-56d7-4078-8c25-542621925144_ContentBits">
    <vt:lpwstr>0</vt:lpwstr>
  </property>
</Properties>
</file>